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94B4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94B41" w:rsidRDefault="00873E1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B4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4B41" w:rsidRDefault="00873E1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17.04.2019 N 768-р</w:t>
            </w:r>
            <w:r>
              <w:rPr>
                <w:sz w:val="48"/>
              </w:rPr>
              <w:br/>
              <w:t>(ред. от 07.02.2026)</w:t>
            </w:r>
            <w:r>
              <w:rPr>
                <w:sz w:val="48"/>
              </w:rPr>
              <w:br/>
              <w:t>&lt;Об утверждении стандарта развития конкуренции в субъектах Российской Федерации&gt;</w:t>
            </w:r>
          </w:p>
        </w:tc>
      </w:tr>
      <w:tr w:rsidR="00294B4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4B41" w:rsidRDefault="00873E10" w:rsidP="003C10B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294B41" w:rsidRDefault="00294B41">
      <w:pPr>
        <w:pStyle w:val="ConsPlusNormal0"/>
        <w:sectPr w:rsidR="00294B4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94B41" w:rsidRDefault="00294B41">
      <w:pPr>
        <w:pStyle w:val="ConsPlusNormal0"/>
        <w:ind w:firstLine="540"/>
        <w:jc w:val="both"/>
        <w:outlineLvl w:val="0"/>
      </w:pPr>
    </w:p>
    <w:p w:rsidR="00294B41" w:rsidRDefault="00873E1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94B41" w:rsidRDefault="00294B41">
      <w:pPr>
        <w:pStyle w:val="ConsPlusTitle0"/>
        <w:jc w:val="center"/>
      </w:pPr>
    </w:p>
    <w:p w:rsidR="00294B41" w:rsidRDefault="00873E10">
      <w:pPr>
        <w:pStyle w:val="ConsPlusTitle0"/>
        <w:jc w:val="center"/>
      </w:pPr>
      <w:r>
        <w:t>РАСПОРЯЖЕНИЕ</w:t>
      </w:r>
    </w:p>
    <w:p w:rsidR="00294B41" w:rsidRDefault="00873E10">
      <w:pPr>
        <w:pStyle w:val="ConsPlusTitle0"/>
        <w:jc w:val="center"/>
      </w:pPr>
      <w:r>
        <w:t>от 17 апреля 2019 г. N 768-р</w:t>
      </w:r>
    </w:p>
    <w:p w:rsidR="00294B41" w:rsidRDefault="00294B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4B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1" w:rsidRDefault="00294B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1" w:rsidRDefault="00294B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4B41" w:rsidRDefault="00873E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B41" w:rsidRDefault="00873E1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Распоряжение Правительства РФ от 07.02.2026 N 210-р &lt;О внесении изменений в распоряжение Правительства РФ от 17.04.2019 N 768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07.02.2026 N 210-р)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1" w:rsidRDefault="00294B41">
            <w:pPr>
              <w:pStyle w:val="ConsPlusNormal0"/>
            </w:pPr>
          </w:p>
        </w:tc>
      </w:tr>
    </w:tbl>
    <w:p w:rsidR="00294B41" w:rsidRDefault="00294B41">
      <w:pPr>
        <w:pStyle w:val="ConsPlusNormal0"/>
        <w:jc w:val="center"/>
      </w:pPr>
    </w:p>
    <w:p w:rsidR="00294B41" w:rsidRDefault="00873E10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9" w:tooltip="СТАНДАРТ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2. Рекомендовать: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исполнительным органам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39" w:tooltip="СТАНДАРТ">
        <w:r>
          <w:rPr>
            <w:color w:val="0000FF"/>
          </w:rPr>
          <w:t>стандарта</w:t>
        </w:r>
      </w:hyperlink>
      <w:r>
        <w:t>;</w:t>
      </w:r>
    </w:p>
    <w:p w:rsidR="00294B41" w:rsidRDefault="00873E10">
      <w:pPr>
        <w:pStyle w:val="ConsPlusNormal0"/>
        <w:jc w:val="both"/>
      </w:pPr>
      <w:r>
        <w:t xml:space="preserve">(в ред. </w:t>
      </w:r>
      <w:hyperlink r:id="rId11" w:tooltip="Распоряжение Правительства РФ от 07.02.2026 N 210-р &lt;О внесении изменений в распоряжение Правительства РФ от 17.04.2019 N 768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07.02.2026 N 210-р)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2" w:tooltip="Распоряжение Правительства РФ от 07.02.2026 N 210-р &lt;О внесении изменений в распоряжение Правительства РФ от 17.04.2019 N 768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07.02.2026 N 210-р.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3. ФАС России: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утвердить методику расчета ключевых показателей развития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утвердить методику формир</w:t>
      </w:r>
      <w:r>
        <w:t>ования рейтинга субъектов Российской Федерации по уровню содействия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утвердить методику осуществления мониторинга состояния конкуренции в субъекте Российской Федерации на приоритетных товарных рынках;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образовать межведомственную рабочую группу </w:t>
      </w:r>
      <w:proofErr w:type="gramStart"/>
      <w:r>
        <w:t xml:space="preserve">по вопросам реализации положений </w:t>
      </w:r>
      <w:hyperlink w:anchor="P39" w:tooltip="СТАНДАРТ">
        <w:r>
          <w:rPr>
            <w:color w:val="0000FF"/>
          </w:rPr>
          <w:t>стандарта</w:t>
        </w:r>
      </w:hyperlink>
      <w:r>
        <w:t xml:space="preserve"> при Экспертном совете по вопросам развития конкуренции в субъектах Российской Федерации при ФАС</w:t>
      </w:r>
      <w:proofErr w:type="gramEnd"/>
      <w:r>
        <w:t xml:space="preserve"> России;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представлять </w:t>
      </w:r>
      <w:proofErr w:type="gramStart"/>
      <w:r>
        <w:t>при необходим</w:t>
      </w:r>
      <w:r>
        <w:t xml:space="preserve">ости в Правительство Российской Федерации в установленном порядке предложения о внесении изменений в </w:t>
      </w:r>
      <w:hyperlink w:anchor="P39" w:tooltip="СТАНДАРТ">
        <w:r>
          <w:rPr>
            <w:color w:val="0000FF"/>
          </w:rPr>
          <w:t>стандарт</w:t>
        </w:r>
        <w:proofErr w:type="gramEnd"/>
      </w:hyperlink>
      <w:r>
        <w:t xml:space="preserve">, одобренные указанной межведомственной рабочей группой по вопросам реализации положений </w:t>
      </w:r>
      <w:hyperlink w:anchor="P39" w:tooltip="СТАНДАРТ">
        <w:r>
          <w:rPr>
            <w:color w:val="0000FF"/>
          </w:rPr>
          <w:t>стандарта</w:t>
        </w:r>
      </w:hyperlink>
      <w:r>
        <w:t>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представлять </w:t>
      </w:r>
      <w:proofErr w:type="gramStart"/>
      <w:r>
        <w:t>в Правительство Российской Федерации ежегодно в составе доклада о состоянии конкуренции в Российской Федерации информацию о результатах</w:t>
      </w:r>
      <w:proofErr w:type="gramEnd"/>
      <w:r>
        <w:t xml:space="preserve"> внедрения </w:t>
      </w:r>
      <w:hyperlink w:anchor="P39" w:tooltip="СТАНДАРТ">
        <w:r>
          <w:rPr>
            <w:color w:val="0000FF"/>
          </w:rPr>
          <w:t>стандарт</w:t>
        </w:r>
        <w:r>
          <w:rPr>
            <w:color w:val="0000FF"/>
          </w:rPr>
          <w:t>а</w:t>
        </w:r>
      </w:hyperlink>
      <w:r>
        <w:t>.</w:t>
      </w:r>
    </w:p>
    <w:p w:rsidR="00294B41" w:rsidRDefault="00873E10">
      <w:pPr>
        <w:pStyle w:val="ConsPlusNormal0"/>
        <w:jc w:val="both"/>
      </w:pPr>
      <w:r>
        <w:t xml:space="preserve">(п. 3 в ред. </w:t>
      </w:r>
      <w:hyperlink r:id="rId13" w:tooltip="Распоряжение Правительства РФ от 07.02.2026 N 210-р &lt;О внесении изменений в распоряжение Правительства РФ от 17.04.2019 N 768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07.02.2026 N 210-р)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14" w:tooltip="Распоряжение Правительства РФ от 07.02.2026 N 210-р &lt;О внесении изменений в распоряжение Правительства РФ от 17.04.2019 N 768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07.02.2026 N 210-р.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294B41" w:rsidRDefault="00873E10">
      <w:pPr>
        <w:pStyle w:val="ConsPlusNormal0"/>
        <w:spacing w:before="240"/>
        <w:ind w:firstLine="540"/>
        <w:jc w:val="both"/>
      </w:pPr>
      <w:hyperlink r:id="rId15" w:tooltip="Распоряжение Правительства РФ от 05.09.2015 N 1738-р (ред. от 17.09.2016) &lt;Об утверждении стандарта развития конкуренции в субъектах Российской Федерации&gt; ------------ Утратил силу или отменен {КонсультантПлюс}">
        <w:r>
          <w:rPr>
            <w:color w:val="0000FF"/>
          </w:rPr>
          <w:t>распор</w:t>
        </w:r>
        <w:r>
          <w:rPr>
            <w:color w:val="0000FF"/>
          </w:rPr>
          <w:t>яжение</w:t>
        </w:r>
      </w:hyperlink>
      <w:r>
        <w:t xml:space="preserve"> Правительства Российской Федерации от 5 сентября 2015 г. N 1738-р (Собрание законодательства Российской Федерации, 2015, N 37, ст. 5176);</w:t>
      </w:r>
    </w:p>
    <w:p w:rsidR="00294B41" w:rsidRDefault="00873E10">
      <w:pPr>
        <w:pStyle w:val="ConsPlusNormal0"/>
        <w:spacing w:before="240"/>
        <w:ind w:firstLine="540"/>
        <w:jc w:val="both"/>
      </w:pPr>
      <w:hyperlink r:id="rId16" w:tooltip="Распоряжение Правительства РФ от 17.09.2016 N 1969-р &lt;О внесении изменений в стандарт развития конкуренции в субъектах Российской Федерации, утв. Распоряжением Правительства РФ от 05.09.2015 N 1738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17 сентября 2016 г. N 1969-р (Собрание законодательства Российской Федерации, 2016, N 39, ст. 5702).</w:t>
      </w:r>
    </w:p>
    <w:p w:rsidR="00294B41" w:rsidRDefault="00294B41">
      <w:pPr>
        <w:pStyle w:val="ConsPlusNormal0"/>
        <w:ind w:firstLine="540"/>
        <w:jc w:val="both"/>
      </w:pPr>
    </w:p>
    <w:p w:rsidR="00294B41" w:rsidRDefault="00873E10">
      <w:pPr>
        <w:pStyle w:val="ConsPlusNormal0"/>
        <w:jc w:val="right"/>
      </w:pPr>
      <w:r>
        <w:t>Председатель Правительства</w:t>
      </w:r>
    </w:p>
    <w:p w:rsidR="00294B41" w:rsidRDefault="00873E10">
      <w:pPr>
        <w:pStyle w:val="ConsPlusNormal0"/>
        <w:jc w:val="right"/>
      </w:pPr>
      <w:r>
        <w:t>Российской Федерации</w:t>
      </w:r>
    </w:p>
    <w:p w:rsidR="00294B41" w:rsidRDefault="00873E10">
      <w:pPr>
        <w:pStyle w:val="ConsPlusNormal0"/>
        <w:jc w:val="right"/>
      </w:pPr>
      <w:r>
        <w:t>Д.МЕДВЕДЕВ</w:t>
      </w:r>
    </w:p>
    <w:p w:rsidR="00294B41" w:rsidRDefault="00294B41">
      <w:pPr>
        <w:pStyle w:val="ConsPlusNormal0"/>
        <w:ind w:firstLine="540"/>
        <w:jc w:val="both"/>
      </w:pPr>
    </w:p>
    <w:p w:rsidR="00294B41" w:rsidRDefault="00294B41">
      <w:pPr>
        <w:pStyle w:val="ConsPlusNormal0"/>
        <w:ind w:firstLine="540"/>
        <w:jc w:val="both"/>
      </w:pPr>
    </w:p>
    <w:p w:rsidR="00294B41" w:rsidRDefault="00294B41">
      <w:pPr>
        <w:pStyle w:val="ConsPlusNormal0"/>
        <w:ind w:firstLine="540"/>
        <w:jc w:val="both"/>
      </w:pPr>
    </w:p>
    <w:p w:rsidR="00294B41" w:rsidRDefault="00294B41">
      <w:pPr>
        <w:pStyle w:val="ConsPlusNormal0"/>
        <w:ind w:firstLine="540"/>
        <w:jc w:val="both"/>
      </w:pPr>
    </w:p>
    <w:p w:rsidR="00294B41" w:rsidRDefault="00294B41">
      <w:pPr>
        <w:pStyle w:val="ConsPlusNormal0"/>
        <w:ind w:firstLine="540"/>
        <w:jc w:val="both"/>
      </w:pPr>
    </w:p>
    <w:p w:rsidR="00294B41" w:rsidRDefault="00873E10">
      <w:pPr>
        <w:pStyle w:val="ConsPlusNormal0"/>
        <w:jc w:val="right"/>
        <w:outlineLvl w:val="0"/>
      </w:pPr>
      <w:r>
        <w:t>Утвержден</w:t>
      </w:r>
    </w:p>
    <w:p w:rsidR="00294B41" w:rsidRDefault="00873E10">
      <w:pPr>
        <w:pStyle w:val="ConsPlusNormal0"/>
        <w:jc w:val="right"/>
      </w:pPr>
      <w:r>
        <w:t>распоряжением Правительства</w:t>
      </w:r>
    </w:p>
    <w:p w:rsidR="00294B41" w:rsidRDefault="00873E10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294B41" w:rsidRDefault="00873E10">
      <w:pPr>
        <w:pStyle w:val="ConsPlusNormal0"/>
        <w:jc w:val="right"/>
      </w:pPr>
      <w:r>
        <w:t>от 17 апреля 2019 г. N 768-р</w:t>
      </w:r>
    </w:p>
    <w:p w:rsidR="00294B41" w:rsidRDefault="00294B41">
      <w:pPr>
        <w:pStyle w:val="ConsPlusNormal0"/>
        <w:jc w:val="center"/>
      </w:pPr>
    </w:p>
    <w:p w:rsidR="00294B41" w:rsidRDefault="00873E10">
      <w:pPr>
        <w:pStyle w:val="ConsPlusTitle0"/>
        <w:jc w:val="center"/>
      </w:pPr>
      <w:bookmarkStart w:id="1" w:name="P39"/>
      <w:bookmarkEnd w:id="1"/>
      <w:r>
        <w:t>СТАНДАРТ</w:t>
      </w:r>
    </w:p>
    <w:p w:rsidR="00294B41" w:rsidRDefault="00873E10">
      <w:pPr>
        <w:pStyle w:val="ConsPlusTitle0"/>
        <w:jc w:val="center"/>
      </w:pPr>
      <w:r>
        <w:t>РАЗВИТИЯ КОНКУРЕНЦИИ В СУБЪЕКТАХ РОССИЙСКОЙ ФЕДЕРАЦИИ</w:t>
      </w:r>
    </w:p>
    <w:p w:rsidR="00294B41" w:rsidRDefault="00294B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4B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1" w:rsidRDefault="00294B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1" w:rsidRDefault="00294B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4B41" w:rsidRDefault="00873E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B41" w:rsidRDefault="00873E1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Распоряжение Правительства РФ от 07.02.2026 N 210-р &lt;О внесении изменений в распоряжение Правительства РФ от 17.04.2019 N 768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07.02.2026 N 210-р)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1" w:rsidRDefault="00294B41">
            <w:pPr>
              <w:pStyle w:val="ConsPlusNormal0"/>
            </w:pPr>
          </w:p>
        </w:tc>
      </w:tr>
    </w:tbl>
    <w:p w:rsidR="00294B41" w:rsidRDefault="00294B41">
      <w:pPr>
        <w:pStyle w:val="ConsPlusNormal0"/>
        <w:jc w:val="center"/>
      </w:pPr>
    </w:p>
    <w:p w:rsidR="00294B41" w:rsidRDefault="00873E10">
      <w:pPr>
        <w:pStyle w:val="ConsPlusTitle0"/>
        <w:jc w:val="center"/>
        <w:outlineLvl w:val="1"/>
      </w:pPr>
      <w:r>
        <w:t>I. Общие положения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Стандарт развития конкуренции в субъектах Российской Федерации (далее - стандарт) разработан в рамках реализации </w:t>
      </w:r>
      <w:hyperlink r:id="rId18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color w:val="0000FF"/>
          </w:rPr>
          <w:t>пункта 7</w:t>
        </w:r>
      </w:hyperlink>
      <w:r>
        <w:t xml:space="preserve"> и </w:t>
      </w:r>
      <w:hyperlink r:id="rId19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color w:val="0000FF"/>
          </w:rPr>
          <w:t>подпункта "в" пункта 8</w:t>
        </w:r>
      </w:hyperlink>
      <w:r>
        <w:t xml:space="preserve"> Указа Президента Российско</w:t>
      </w:r>
      <w:r>
        <w:t>й Федерации от 21 декабря 2017 г. N 618 "Об основных направлениях государственной политики по развитию конкуренции", а также мероприятия федерального проекта "Развитие конкуренции" национального проекта "Эффективная и конкурентная экономика".</w:t>
      </w:r>
      <w:proofErr w:type="gramEnd"/>
    </w:p>
    <w:p w:rsidR="00294B41" w:rsidRDefault="00873E10">
      <w:pPr>
        <w:pStyle w:val="ConsPlusNormal0"/>
        <w:spacing w:before="240"/>
        <w:ind w:firstLine="540"/>
        <w:jc w:val="both"/>
      </w:pPr>
      <w:r>
        <w:t>2. Целями ста</w:t>
      </w:r>
      <w:r>
        <w:t>ндарта являются: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а) установление системного и единообразного подхода к осуществлению деятельности исполнительных органов субъектов Российской Федерации, органов местного самоуправления и территориальных органов федеральных органов исполнительной власти по </w:t>
      </w:r>
      <w:r>
        <w:t>созданию с учетом региональной специфики условий для развития конкуренции между хозяйствующими субъектами в отраслях (сферах) экономики субъектов Российской Федерации;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содействие формированию прозрачной системы работы исполнительных органов субъектов Ро</w:t>
      </w:r>
      <w:r>
        <w:t>ссийской Федерации в части реализации результативных и эффективных мер по развитию конкуренции в интересах потребителей товаров, работ и услуг (далее - потребители);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выявление потенциала развития экономики Российской Федерации;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 и социально ориентированных некоммерческих организаций, повышения уровня конкурентоспособности их продукции, а также сод</w:t>
      </w:r>
      <w:r>
        <w:t>ействие устранению административных барьеров;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д) содействие каждым субъектом Российской Федерации развитию конкуренции на товарных рынках для достижения положительного эффекта в соответствующих отраслях (сферах) экономики Российской Федерации.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3. Принципам</w:t>
      </w:r>
      <w:r>
        <w:t>и реализации стандарта являются: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а) ориентация на потребителя - высшее должностное лицо (руководитель высшего исполнительного органа) субъекта Российской Федерации (далее - высшее должностное лицо) и исполнительные органы субъекта Российской Федерации во в</w:t>
      </w:r>
      <w:r>
        <w:t xml:space="preserve">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потребителей, других участников экономической </w:t>
      </w:r>
      <w:r>
        <w:t>деятельности и общества в целом;</w:t>
      </w:r>
      <w:proofErr w:type="gramEnd"/>
    </w:p>
    <w:p w:rsidR="00294B41" w:rsidRDefault="00873E10">
      <w:pPr>
        <w:pStyle w:val="ConsPlusNormal0"/>
        <w:spacing w:before="240"/>
        <w:ind w:firstLine="540"/>
        <w:jc w:val="both"/>
      </w:pPr>
      <w:r>
        <w:t>б) заинтересованность высшего должностного лица - высшее должностное лицо обеспечивает единство целей и направлений деятельности исполнительных органов субъекта Российской Федерации для результативной и эффективной реализац</w:t>
      </w:r>
      <w:r>
        <w:t>ии стандарта;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в) системный подход - совершенствование деятельности исполнительных органов субъекта Российской Федерации по анализу состояния товарных рынков, поведения хозяйствующих субъектов на указанных рынках и выявленных ожиданий потребителей, а также </w:t>
      </w:r>
      <w:r>
        <w:t>по планированию деятельности, формированию процессов и систем мониторинга, оценки, контроля и анализа деятельности исполнительных органов субъекта Российской Федерации;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постоянное совершенствование деятельности - повышение удовлетворенности потребителей</w:t>
      </w:r>
      <w:r>
        <w:t xml:space="preserve"> и других участников экономической деятельности качеством товаров, работ и услуг, обеспечение информационного взаимодействия с потребителями и другими заинтересованными сторонами, проведение аудита и анализа результативности мероприятий по содействию разви</w:t>
      </w:r>
      <w:r>
        <w:t>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д) прозрачность деятельности - содействие исполнительных органов субъекта Российской Федерации обеспечению открытости и доступности для потребителей и других участников экономической деятельности информации о мероприятиях по содействию раз</w:t>
      </w:r>
      <w:r>
        <w:t>витию конкуренции, процедурах оказания услуг, а также о решениях, оказывающих воздействие на конкуренцию.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4. Этапы реализации стандарта: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определение уполномоченного органа субъекта Российской Федерации, ответственного за реализацию стандарта (далее - уп</w:t>
      </w:r>
      <w:r>
        <w:t>олномоченный орган), и должностных лиц, ответственных за реализацию стандарта;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разработка, утверждение и исполнение плана мероприятий ("дорожной карты") по содействию развитию конкуренции в субъекте Российской Федерации (далее - "дорожная карта");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мо</w:t>
      </w:r>
      <w:r>
        <w:t>ниторинг состояния конкуренции в субъекте Российской Федерации (далее - мониторинг);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подготовка ежегодного доклада о состоянии конкуренции в субъекте Российской Федерации (далее - ежегодный доклад).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5. Уполномоченным органом и органами местного самоупра</w:t>
      </w:r>
      <w:r>
        <w:t>вления, за исключением гг. Москвы, Санкт-Петербурга и Севастополя, заключаются соглашения (меморандумы) о реализации стандарта в субъекте Российской Федерации (далее - соглашения).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 соглашении отражаются положения, определяющие его цели и предмет, описыва</w:t>
      </w:r>
      <w:r>
        <w:t>ются порядок, формы и направления взаимодействия исполнительных органов субъекта Российской Федерации и органов местного самоуправления. В рамках соглашения органы местного самоуправления оказывают содействие исполнительным органам субъекта Российской Феде</w:t>
      </w:r>
      <w:r>
        <w:t>рации при реализации ими стандарта.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Для повышения мотивации руководителей исполнительных органов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</w:t>
      </w:r>
      <w:r>
        <w:t>ийской Федерации рекомендуется учитывать результаты работы исполнительных органов субъекта Российской Федерации и органов местного самоуправления в части реализации стандарта и исполнения мероприятий "дорожной карты" при принятии в установленном порядке ре</w:t>
      </w:r>
      <w:r>
        <w:t>шений о поощрении руководителей исполнительных органов</w:t>
      </w:r>
      <w:proofErr w:type="gramEnd"/>
      <w:r>
        <w:t xml:space="preserve"> субъекта Российской Федерации и органов местного самоуправления.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Title0"/>
        <w:jc w:val="center"/>
        <w:outlineLvl w:val="1"/>
      </w:pPr>
      <w:r>
        <w:t>II. Определение уполномоченного органа и должностных лиц,</w:t>
      </w:r>
    </w:p>
    <w:p w:rsidR="00294B41" w:rsidRDefault="00873E10">
      <w:pPr>
        <w:pStyle w:val="ConsPlusTitle0"/>
        <w:jc w:val="center"/>
      </w:pPr>
      <w:proofErr w:type="gramStart"/>
      <w:r>
        <w:t>ответственных</w:t>
      </w:r>
      <w:proofErr w:type="gramEnd"/>
      <w:r>
        <w:t xml:space="preserve"> за реализацию стандарта, формирование</w:t>
      </w:r>
    </w:p>
    <w:p w:rsidR="00294B41" w:rsidRDefault="00873E10">
      <w:pPr>
        <w:pStyle w:val="ConsPlusTitle0"/>
        <w:jc w:val="center"/>
      </w:pPr>
      <w:r>
        <w:t>коллегиального координационного или совещательного</w:t>
      </w:r>
    </w:p>
    <w:p w:rsidR="00294B41" w:rsidRDefault="00873E10">
      <w:pPr>
        <w:pStyle w:val="ConsPlusTitle0"/>
        <w:jc w:val="center"/>
      </w:pPr>
      <w:r>
        <w:t>органа, созданного при высшем должностном лице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>7. Высшее должностное лицо определяет уполномоченный орган из числа исполнительных органов субъекта Российской Федерации.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8. Уполномоченный орган: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формиру</w:t>
      </w:r>
      <w:r>
        <w:t xml:space="preserve">ет с участием исполнительных органов субъекта Российской Федерации, осуществляющих (координирующих) деятельность в установленных сферах ведения, перечень товарных рынков для содействия развитию конкуренции в субъекте Российской Федерации (далее - перечень </w:t>
      </w:r>
      <w:r>
        <w:t>товарных рынков);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разрабатывает проект "дорожной карты" с учетом предложений исполнительных органов субъекта Российской Федерации и органов местного самоуправления по развитию конкуренции (при наличии) и представляет его на рассмотрение членам коллегиал</w:t>
      </w:r>
      <w:r>
        <w:t>ьного координационного или совещательного органа, созданного при высшем должностном лице (далее - коллегиальный орган);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координирует (в том числе с использованием методов проектного управления при принятии соответствующего решения) деятельность исполнит</w:t>
      </w:r>
      <w:r>
        <w:t>ельных органов субъекта Российской Федерации по выполнению мероприятий "дорожной карты", в том числе посредством создания межведомственных рабочих групп по рассмотрению ключевых вопросов содействия развитию конкуренции в отраслях (сферах) экономики субъект</w:t>
      </w:r>
      <w:r>
        <w:t>а Российской Федерации (при необходимости);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подготавливает ежегодный доклад;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д) размещает информацию о деятельности по содействию развитию конкуренции и соответствующие материалы на официальном сайте уполномоченного органа в информационно-телекоммуникац</w:t>
      </w:r>
      <w:r>
        <w:t>ионной сети "Интернет" (далее - сеть "Интернет");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е) рассматривает обращения по вопросам содействия развитию конкуренции, относящимся к компетенции уполномоченного органа;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ж) организует или осуществляет проведение для исполнительных органов субъекта Россий</w:t>
      </w:r>
      <w:r>
        <w:t>ской Федерации и органов местного самоуправления обучающих мероприятий и тренингов по вопросам содействия развитию конкуренции и повышения качества процессов, связанных с предоставлением услуг, влияющих на развитие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з) осуществляет оценку </w:t>
      </w:r>
      <w:proofErr w:type="gramStart"/>
      <w:r>
        <w:t>резул</w:t>
      </w:r>
      <w:r>
        <w:t>ьтативности деятельности исполнительных органов субъекта Российской Федерации</w:t>
      </w:r>
      <w:proofErr w:type="gramEnd"/>
      <w:r>
        <w:t xml:space="preserve"> и органов местного самоуправления по выполнению мероприятий "дорожной карты", а также иных мероприятий по содействию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и) формирует при принятии высшим должно</w:t>
      </w:r>
      <w:r>
        <w:t>стным лицом решения, предусматривающие систему поощрений, рейтинг муниципальных образований в части их деятельности по содействию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к) осуществляет методическое сопровождение деятельности исполнительных органов субъекта Российской Федер</w:t>
      </w:r>
      <w:r>
        <w:t xml:space="preserve">ации и органов местного самоуправления по применению основополагающих принципов государственной политики по развитию конкуренции в соответствии с </w:t>
      </w:r>
      <w:hyperlink r:id="rId20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</w:t>
      </w:r>
      <w:r>
        <w:t>ерации от 21 декабря 2017 г. N 618 "Об основных направлениях государственной политики по развитию конкуренции", в том числе: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по обеспечению исполнительными органами субъекта Российской Федерации и органами местного самоуправления приоритета целей и задач п</w:t>
      </w:r>
      <w:r>
        <w:t>о содействию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по обеспечению единства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по разработке и исполнению мероприятий "д</w:t>
      </w:r>
      <w:r>
        <w:t>орожной карты", а также иных мероприятий по содействию развитию конкуренции и проведению анализа их результативности;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по применению мер поддержки хозяйствующих субъектов (в том числе посредством рассмотрения проектов правовых актов) на предмет влияния на с</w:t>
      </w:r>
      <w:r>
        <w:t>остояние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по обеспечению информационного взаимодействия с потребителями, участниками экономической деятельности (предпринимательским сообществом) и другими заинтересованными сторонами;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по обеспечению доступности для потребителей и других участн</w:t>
      </w:r>
      <w:r>
        <w:t>иков экономической деятельности информации о решениях и мероприятиях, оказывающих воздействие на конкуренцию.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9. В исполнительных органах субъекта Российской Федерации определяются должностные лица с правом принятия управленческих решений, занимающие должн</w:t>
      </w:r>
      <w:r>
        <w:t>ости не ниже заместителя руководителя, ответственные за координацию вопросов содействия развитию конкуренции, а также структурные подразделения, ответственные за разработку и реализацию "дорожных карт" в подведомственной сфере деятельности. Соответствующие</w:t>
      </w:r>
      <w:r>
        <w:t xml:space="preserve"> обязанности и полномочия вносятся в должностные регламенты и положения о структурных подразделениях.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10. В рамках реализации мероприятий "дорожной карты", а также иных мероприятий по содействию развитию конкуренции исполнительные органы субъекта Российско</w:t>
      </w:r>
      <w:r>
        <w:t>й Федерации, осуществляющие (координирующие) деятельность в установленной сфере ведения, при участии уполномоченного органа: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подготавливают при необходимости предложения по улучшению конкурентной среды на товарных рынках субъекта Российской Федерации (в</w:t>
      </w:r>
      <w:r>
        <w:t xml:space="preserve"> виде проектов актов или иных документов);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осуществляют реализацию мероприятий "дорожной карты", а также иных мероприятий по содействию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обеспечивают единство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обеспечивают информационное взаимодействие с потребителями, другими учас</w:t>
      </w:r>
      <w:r>
        <w:t>тниками экономической деятельности и иными заинтересованными сторонами, в том числе в целях доступности для потребителей и других участников экономической деятельности информации о решениях и мероприятиях, оказывающих воздействие на конкуренцию;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д) проводят анализ результативности мероприятий "дорожной карты", а также иных мероприятий по содействию развитию конкуренции, формируют разделы проекта ежегодного доклада.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11. В целях оценки эффективности реализации стандарта коллегиальный орган на своих </w:t>
      </w:r>
      <w:r>
        <w:t>заседаниях (под председательством лица не ниже заместителя высшего должностного лица), проводимых по мере необходимости, но не реже одного раза в год, рассматривает: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проект "дорожной карты", включая перечень товарных рынков, ключевые показатели развития</w:t>
      </w:r>
      <w:r>
        <w:t xml:space="preserve"> конкуренции (далее - ключевые показатели) и их значения, мероприятия, направленные на их достижение, а также предложения о корректировке "дорожной карты";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результаты и анализ результатов мониторинга;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проект ежегодного доклада;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иную информацию, ка</w:t>
      </w:r>
      <w:r>
        <w:t>сающуюся развития конкуренции в субъекте Российской Федерации.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12. В состав коллегиального органа (в том числе в рамках отдельных специализированных рабочих групп по направлениям) включаются руководители или заместители руководителей исполнительных органов</w:t>
      </w:r>
      <w:r>
        <w:t xml:space="preserve"> субъекта Российской Федерации, заинтересованные представители совета муниципальных образований субъекта Российской Федерации, уполномоченный по защите прав предпринимателей в субъекте Российской Федерации, представители бизнеса, а также иные лица (при нео</w:t>
      </w:r>
      <w:r>
        <w:t>бходимости). Функции коллегиального органа по решению высшего должностного лица также могут быть возложены на координационный или совещательный орган, созданный в субъекте Российской Федерации в целях улучшения условий для ведения предпринимательской деяте</w:t>
      </w:r>
      <w:r>
        <w:t>льности.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13.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Title0"/>
        <w:jc w:val="center"/>
        <w:outlineLvl w:val="1"/>
      </w:pPr>
      <w:r>
        <w:t>III. Разработка, утверждение и реализация "дорожной карты"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>14. "Дорожная карта" разрабатывается уполном</w:t>
      </w:r>
      <w:r>
        <w:t>оченным органом и содержит следующую информацию: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перечень товарных рынков с описанием текущей ситуации на каждом товарном рынке (в отношении приоритетных и дополнительных товарных рынков (при их наличии), аргументированным обоснованием выбора каждого до</w:t>
      </w:r>
      <w:r>
        <w:t>полнительного товарного рынка (при их наличии) и анализом основных проблем;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сведения о мероприятиях (с указанием срока их разработки и реализации), обеспечивающих достижение установленных целевых результатов развития конкуренции (далее - целевые результ</w:t>
      </w:r>
      <w:r>
        <w:t>аты) в отношении каждого товарного рынка, при этом рекомендуется включать самостоятельные мероприятия, не входящие в планы мероприятий иных стратегических и программных документов субъекта Российской Федерации;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в) целевые результаты, ключевые показатели и </w:t>
      </w:r>
      <w:r>
        <w:t>их значения на товарных рынках, включенных в перечень товарных рынков (с указанием срока их достижения);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сведения об исполнителях и соисполнителях, ответственных за разработку и реализацию мероприятий, обеспечивающих достижение установленных целевых рез</w:t>
      </w:r>
      <w:r>
        <w:t>ультатов.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15. В перечень товарных рынков включаются товарные рынки по перечню приоритетных товарных рынков для содействия развитию конкуренции в субъекте Российской Федерации согласно </w:t>
      </w:r>
      <w:hyperlink w:anchor="P200" w:tooltip="ПЕРЕЧЕНЬ">
        <w:r>
          <w:rPr>
            <w:color w:val="0000FF"/>
          </w:rPr>
          <w:t>приложению</w:t>
        </w:r>
      </w:hyperlink>
      <w:r>
        <w:t>. В перечень товарных</w:t>
      </w:r>
      <w:r>
        <w:t xml:space="preserve"> рынков могут включаться дополнительные товарные рынки, учитывающие специфику субъекта Российской Федерации. При выборе дополнительных товарных рынков рекомендуется в первую очередь включать: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товарные рынки, имеющие высокую социальную значимость;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тов</w:t>
      </w:r>
      <w:r>
        <w:t xml:space="preserve">арные рынки </w:t>
      </w:r>
      <w:proofErr w:type="spellStart"/>
      <w:r>
        <w:t>несырьевого</w:t>
      </w:r>
      <w:proofErr w:type="spellEnd"/>
      <w:r>
        <w:t xml:space="preserve">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и инновационные цепочки, а также цепоч</w:t>
      </w:r>
      <w:r>
        <w:t>ки создания добавленной стоимости находятся преимущественно в Российской Федерации (в том числе в рамках промышленных и инновационных кластеров);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товарные рынки по производству высокотехнологичной продукции и (или) технически сложной продукции с перспек</w:t>
      </w:r>
      <w:r>
        <w:t>тивными технологиями, развитие которых приведет к созданию инновационных систем полного цикла в Российской Федерации и формированию потенциала достижения новых технологических уровней и (или) потенциала встраивания в глобальную производственную и технологи</w:t>
      </w:r>
      <w:r>
        <w:t>ческую кооперацию.</w:t>
      </w:r>
    </w:p>
    <w:p w:rsidR="00294B41" w:rsidRDefault="00873E10">
      <w:pPr>
        <w:pStyle w:val="ConsPlusNormal0"/>
        <w:spacing w:before="240"/>
        <w:ind w:firstLine="540"/>
        <w:jc w:val="both"/>
      </w:pPr>
      <w:bookmarkStart w:id="2" w:name="P117"/>
      <w:bookmarkEnd w:id="2"/>
      <w:r>
        <w:t>16. Наряду с мероприятиями, сформированными в целях достижения ключевых показателей, в "дорожной карте" предусматриваются также системные мероприятия, которые должны быть направлены на развитие конкуренции в субъекте Российской Федерации</w:t>
      </w:r>
      <w:r>
        <w:t>, в том числе: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на развитие конкурентоспособности товаров, работ и услуг субъектов малого и среднего предпринимательства и социально ориентированных некоммерческих организаций;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б) на обеспечение прозрачности и доступности закупок товаров, работ и услуг, </w:t>
      </w:r>
      <w:r>
        <w:t>осуществляемых с использованием конкурентных способов определения поставщиков (подрядчиков, исполнителей), предусматривающих: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снижение случаев (снижение количества) осуществления закупок у единственного поставщика;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введение механизма оказания содействия участникам закупок по вопросам, связанным с получением электронной подписи, формированием заявок, а также с правовым сопровождением при осуществлении закупок;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расширение участия субъектов малого и среднего предпринима</w:t>
      </w:r>
      <w:r>
        <w:t>тельства и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на устранение избыточного государственного и му</w:t>
      </w:r>
      <w:r>
        <w:t>ниципального регулирования, а также на снижение административных барьеров, включая: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</w:t>
      </w:r>
      <w:r>
        <w:t xml:space="preserve">едмет соответствия такой практики </w:t>
      </w:r>
      <w:hyperlink r:id="rId21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статьям 15</w:t>
        </w:r>
      </w:hyperlink>
      <w:r>
        <w:t xml:space="preserve"> и </w:t>
      </w:r>
      <w:hyperlink r:id="rId22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наличие в порядках проведения оценки регулирующего воздействия проектов нормативных правовых актов субъекта Российской Федерации и муници</w:t>
      </w:r>
      <w:r>
        <w:t xml:space="preserve">пальных образований и экспертизы нормативных правовых актов субъекта Российской Федерации, устанавливаемых в соответствии с Федеральным </w:t>
      </w:r>
      <w:hyperlink r:id="rId2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общих принципах организации публичной власти в субъектах Российской Федерации" и Федеральным </w:t>
      </w:r>
      <w:hyperlink r:id="rId2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"Об</w:t>
      </w:r>
      <w:r>
        <w:t xml:space="preserve"> общих принципах организации местного самоуправления в единой системе публичной власти", пунктов, предусматривающих анализ воздействия таких</w:t>
      </w:r>
      <w:proofErr w:type="gramEnd"/>
      <w:r>
        <w:t xml:space="preserve"> проектов актов на состояние конкуренции, а также соответствующего аналитического инструментария (инструкций, форм, </w:t>
      </w:r>
      <w:r>
        <w:t>стандартов и др.);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на совершенствование процессов управления объектами государственной собственности субъекта Российской Федерации и муниципальной собственности в рамках полномочий исполнительных органов субъектов Российской Федерации или органов местно</w:t>
      </w:r>
      <w:r>
        <w:t>го самоуправления, закрепленных за ними законодательством Российской Федерации, а также на ограничение влияния государственных и муниципальных предприятий на конкуренцию;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д) на создание условий для недискриминационного доступа хозяйствующих субъектов на то</w:t>
      </w:r>
      <w:r>
        <w:t>варные рынки;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е) на создание благоприятной среды для развития конкуренции на финансовом рынке и повышения доступности финансовых услуг (продуктов) для физических и юридических лиц, в том числе субъектов малого и среднего предпринимательства и социально ори</w:t>
      </w:r>
      <w:r>
        <w:t>ентированных некоммерческих организаций, включая: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содействие повышению их удовлетворенности доступным выбором финансовых организаций, осуществляющих деятельность в субъекте Российской Федерации, их работой, а также оказываемыми (предоставляемыми) финансовы</w:t>
      </w:r>
      <w:r>
        <w:t>ми услугами (продуктами);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содействие обеспечению свободного выбора финансовых услуг (продуктов) для потребителей, недопущению навязывания потребителям невыгодных условий предоставления им финансовых услуг (продуктов), введения их в заблуждение, ограничения</w:t>
      </w:r>
      <w:r>
        <w:t xml:space="preserve"> их в выборе поставщика финансовых услуг (продуктов) (в частности, недопущению ограничений при осуществлении переводов), например, при выплате заработной платы, пенсионных и иных выплат, а также платежей за жилищно-коммунальные услуги;</w:t>
      </w:r>
      <w:proofErr w:type="gramEnd"/>
    </w:p>
    <w:p w:rsidR="00294B41" w:rsidRDefault="00873E10">
      <w:pPr>
        <w:pStyle w:val="ConsPlusNormal0"/>
        <w:spacing w:before="240"/>
        <w:ind w:firstLine="540"/>
        <w:jc w:val="both"/>
      </w:pPr>
      <w:r>
        <w:t>исключение избыточны</w:t>
      </w:r>
      <w:r>
        <w:t>х и (или) дискриминационных критериев допуска к соответствующим программам (в частности, при размещении средств бюджетов субъектов Российской Федерации, реализации региональных программ поддержки) и проектам (инфраструктурные проекты, зарплатные проекты);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содействие обеспечению доступности инфраструктуры предоставления финансовых услуг (продуктов), расширению набора финансовых услуг (продуктов) и повышению их качества в населенных пунктах субъектов Российской Федерации, оказание поддержки органами государст</w:t>
      </w:r>
      <w:r>
        <w:t>венной власти субъекта Российской Федерации и органами местного самоуправления в получении информации о торгово-сервисных предприятиях субъекта Российской Федерации и информировании физических лиц о возможностях использования электронных терминалов и серви</w:t>
      </w:r>
      <w:r>
        <w:t>са "наличные на кассе";</w:t>
      </w:r>
      <w:proofErr w:type="gramEnd"/>
    </w:p>
    <w:p w:rsidR="00294B41" w:rsidRDefault="00873E10">
      <w:pPr>
        <w:pStyle w:val="ConsPlusNormal0"/>
        <w:spacing w:before="240"/>
        <w:ind w:firstLine="540"/>
        <w:jc w:val="both"/>
      </w:pPr>
      <w:r>
        <w:t>формирование и рассмотрение с участием операторов связи предложений по повышению зоны покрытия и качества связи сети "Интернет" как необходимого условия для повышения уровня проникновения дистанционных каналов предоставления финансо</w:t>
      </w:r>
      <w:r>
        <w:t>вых услуг (продуктов) и устранения географических барьеров в сфере конкуренции на финансовом рынке;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содействие сохранению необходимого количества точек доступа к финансовым услугам (продуктам) в сельской местности и на отдаленных, малонаселенных и труднодоступных территориях, развитие различных облегченных форматов обслуживания;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содействие созданию услов</w:t>
      </w:r>
      <w:r>
        <w:t>ий для принятия участниками экономической деятельности осознанных решений при использовании финансовых услуг (продуктов), в том числе в рамках повышения финансовой грамотности, включающей инвестиционную, налоговую, пенсионную, бюджетную грамотность и иници</w:t>
      </w:r>
      <w:r>
        <w:t xml:space="preserve">ативное бюджетирование, а также цифровой грамотности и </w:t>
      </w:r>
      <w:proofErr w:type="spellStart"/>
      <w:r>
        <w:t>киберграмотности</w:t>
      </w:r>
      <w:proofErr w:type="spellEnd"/>
      <w:r>
        <w:t>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содействие повышению осведомленности субъектов малого и среднего предпринимательства о доступных инструментах финансирования.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17. Наряду с системными мероприятиями, указанными в </w:t>
      </w:r>
      <w:hyperlink w:anchor="P117" w:tooltip="16. Наряду с мероприятиями, сформированными в целях достижения ключевых показателей, в &quot;дорожной карте&quot; предусматриваются также системные мероприятия, которые должны быть направлены на развитие конкуренции в субъекте Российской Федерации, в том числе:">
        <w:r>
          <w:rPr>
            <w:color w:val="0000FF"/>
          </w:rPr>
          <w:t>пункте 16</w:t>
        </w:r>
      </w:hyperlink>
      <w:r>
        <w:t xml:space="preserve"> стандарта, в "дорожную карту" могут быть включены мероприятия, направленные: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а) на включение в программы по повышению качества управления закупочной деятельностью компаний с государственным участием следующих показателей </w:t>
      </w:r>
      <w:r>
        <w:t>эффективности: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прирост объема закупок у субъектов малого и среднего предпринимательства;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увеличение количества участников закупок из числа субъектов малого и среднего предпринимательства и социально ориентированных некоммерческих организаций;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увеличение ко</w:t>
      </w:r>
      <w:r>
        <w:t>личества поставщиков (подрядчиков, исполнителей) из числа субъектов малого и среднего предпринимательства и социально ориентированных некоммерческих организаций, а также количества договоров, заключаемых с такими субъектами и организациями;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экономия средст</w:t>
      </w:r>
      <w:r>
        <w:t>в заказчика за счет участия в закупках субъектов малого и среднего предпринимательства и социально ориентированных некоммерческих организаций;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б) на обеспечение равных условий доступа к информации о государственном имуществе субъекта Российской Федерации и</w:t>
      </w:r>
      <w:r>
        <w:t xml:space="preserve"> об имуществе, находящемся в собственности муниципальных образований, в том числе об имуществе, включаемом в перечни имущества для предоставления на льготных условиях субъектам малого и среднего предпринимательства, о реализации такого имущества или предос</w:t>
      </w:r>
      <w:r>
        <w:t>тавлении его во владение и (или) пользование, а также о ресурсах всех видов, находящихся</w:t>
      </w:r>
      <w:proofErr w:type="gramEnd"/>
      <w:r>
        <w:t xml:space="preserve"> в государственной собственности субъекта Российской Федерации и муниципальной собственности;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в) на реализацию мер, направленных на выравнивание условий конкуренции на </w:t>
      </w:r>
      <w:r>
        <w:t>товарных рынках субъекта Российской Федерации (включая темпы роста цен);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г) на обучение государственных гражданских служащих исполнительных органов субъекта Российской Федерации и работников их подведомственных предприятий и учреждений основам государствен</w:t>
      </w:r>
      <w:r>
        <w:t>ной политики в области развития конкуренции и антимонопольного законодательства Российской Федерации;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д) на недопущение ограничения конкуренции при предоставлении мер поддержки производителям товаров, работ и услуг;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е) на развитие организованных торгов, пр</w:t>
      </w:r>
      <w:r>
        <w:t>оводимых на основании лицензии биржи или лицензии торговой системы, товарами и производными финансовыми инструментами, базисным активом которых является товар, системы товарных индикаторов, в том числе по следующим направлениям: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стимулирование хозяйствующи</w:t>
      </w:r>
      <w:r>
        <w:t>х субъектов, осуществляющих деятельность на территории субъекта Российской Федерации, в том числе субъектов малого и среднего предпринимательства, хозяйствующих субъектов, доля участия субъекта Российской Федерации и (или) муниципального образования в кото</w:t>
      </w:r>
      <w:r>
        <w:t>рых составляет 50 процентов и более, принимать участие в организованных торгах в качестве участников торгов (включая торговлю в мелкооптовом сегменте);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 xml:space="preserve">повышение уровня информированности хозяйствующих субъектов об организованных торгах товарами и производными финансовыми инструментами, базисным активом которых является товар, и о системе товарных индикаторов посредством проведения конференций, семинаров, </w:t>
      </w:r>
      <w:proofErr w:type="spellStart"/>
      <w:r>
        <w:t>вебинаров</w:t>
      </w:r>
      <w:proofErr w:type="spellEnd"/>
      <w:r>
        <w:t xml:space="preserve"> и других мероприятий, а также с помощью размещения на официальном сайте уполномоченного органа в сети "Интернет" в отдельном разделе "Организованные торги" актуальной и постоянно обновляемой информации о биржах и торговых системах, осуществляющих</w:t>
      </w:r>
      <w:proofErr w:type="gramEnd"/>
      <w:r>
        <w:t xml:space="preserve"> деятельность на территории Российской Федерации, включая официальные сайты бирж и торговых систем в сети "Интернет";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развитие товарных индикаторов, определяемых на основе сделок, заключенных на организованных торгах, а также сбора информации о внебиржевых</w:t>
      </w:r>
      <w:r>
        <w:t xml:space="preserve"> сделках;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взаимодействие с участниками рынка в целях обеспечения допуска к организованным торгам товаров, характерных для субъекта Российской Федерации (при наличии) и ранее не участвовавших в организованных торгах;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ж) на иные мероприятия по содействию раз</w:t>
      </w:r>
      <w:r>
        <w:t>витию конкуренции, необходимые для достижения установленных показателей.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18. С учетом соглашения в "дорожную карту" могут включаться мероприятия по содействию развитию конкуренции, реализуемые органами местного самоуправления.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19. Значения ключевых показат</w:t>
      </w:r>
      <w:r>
        <w:t>елей и мероприятия по содействию развитию конкуренции на приоритетных товарных рынках определяются в "дорожной карте" на период до 2030 года включительно (на каждый год периода 2026 - 2030 годов) с учетом необходимости обязательного достижения к 31 декабря</w:t>
      </w:r>
      <w:r>
        <w:t xml:space="preserve"> 2030 г. значений целевых результатов не ниже значений, предусмотренных </w:t>
      </w:r>
      <w:hyperlink w:anchor="P200" w:tooltip="ПЕРЕЧЕНЬ">
        <w:r>
          <w:rPr>
            <w:color w:val="0000FF"/>
          </w:rPr>
          <w:t>приложением</w:t>
        </w:r>
      </w:hyperlink>
      <w:r>
        <w:t xml:space="preserve"> к стандарту. В отношении дополнительных товарных рынков (при их наличии) значения целевых результатов и мероприятия по содействию р</w:t>
      </w:r>
      <w:r>
        <w:t>азвитию конкуренции на таких товарных рынках определяются на период до 2030 года включительно субъектами Российской Федерации самостоятельно с учетом специфики их социально-экономического развития.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20. Проект "дорожной карты" рассматривается на заседании к</w:t>
      </w:r>
      <w:r>
        <w:t>оллегиального органа и при одобрении им не позднее 3 рабочих дней направляется на согласование в Федеральную антимонопольную службу. При получении согласования Федеральной антимонопольной службы проект "дорожной карты" выносится на утверждение высшего долж</w:t>
      </w:r>
      <w:r>
        <w:t>ностного лица. При этом не менее чем за 10 календарных дней до заседания коллегиального органа проект "дорожной карты" размещается на официальном сайте уполномоченного органа в сети "Интернет". Субъектам предпринимательской деятельности, потребителям и общ</w:t>
      </w:r>
      <w:r>
        <w:t>ественным организациям, представляющим интересы потребителей, обеспечивается возможность представления предложений и замечаний по проекту "дорожной карты", которые рассматриваются уполномоченным органом при доработке "дорожной карты".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21. В "дорожную карту</w:t>
      </w:r>
      <w:r>
        <w:t>" могут ежегодно вноситься изменения с учетом анализа результатов мониторинга и получаемой информации. Не допускается включение в "дорожную карту" фактически выполненных мероприятий.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22. Реализация мероприятий "дорожной карты" осуществляется в установленны</w:t>
      </w:r>
      <w:r>
        <w:t>е "дорожной картой" сроки.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Title0"/>
        <w:jc w:val="center"/>
        <w:outlineLvl w:val="1"/>
      </w:pPr>
      <w:r>
        <w:t>IV. Проведение мониторинга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>23. Федеральная антимонопольная служба ежегодно проводит мониторинг на приоритетных товарных рынках.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24. Мониторинг включает в себя: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а) мониторинг наличия (отсутствия) административных барьеров и оцен</w:t>
      </w:r>
      <w:r>
        <w:t>ки состояния конкуренции хозяйствующими субъектами, предусматривающий: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выделение групп хозяйствующих субъектов, а также вида деятельности (наименование товарного рынка, на котором хозяйствующий субъект, представляющий свою оценку состояния конкуренции, фак</w:t>
      </w:r>
      <w:r>
        <w:t>тически осуществляет хозяйственную деятельность);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сбор данных о состоянии и изменении конкуренции, а также построение на основе указанных данных репрезентативных оценок в отношении субъекта Российской Федерации и сегментов хозяйственной деятельности;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 xml:space="preserve">сбор </w:t>
      </w:r>
      <w:r>
        <w:t>данных о наличии и уровне административных барьеров в сферах регулирования,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формирование на основе указ</w:t>
      </w:r>
      <w:r>
        <w:t>анных данных репрезентативных оценок в отношении субъекта Российской Федерации и сегментов хозяйственной деятельности;</w:t>
      </w:r>
      <w:proofErr w:type="gramEnd"/>
    </w:p>
    <w:p w:rsidR="00294B41" w:rsidRDefault="00873E10">
      <w:pPr>
        <w:pStyle w:val="ConsPlusNormal0"/>
        <w:spacing w:before="240"/>
        <w:ind w:firstLine="540"/>
        <w:jc w:val="both"/>
      </w:pPr>
      <w:r>
        <w:t>сбор данных о возможностях недискриминационного доступа на товарные рынки субъекта Российской Федерации, а также товарные рынки субъектов</w:t>
      </w:r>
      <w:r>
        <w:t xml:space="preserve"> Российской Федерации, имеющих с ним общие территориальные границы, в части появления новых хозяйствующих субъектов и начала осуществления ими хозяйственной деятельности;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б) мониторинг удовлетворенности потребителей состоянием ценовой конкуренции, предусма</w:t>
      </w:r>
      <w:r>
        <w:t>тривающий 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в) мониторинг удовлетворенности хозяйствующих субъектов качеством </w:t>
      </w:r>
      <w:r>
        <w:t>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 муниц</w:t>
      </w:r>
      <w:r>
        <w:t>ипальными образованиями.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25. Мониторинг проводится в соответствии с единой методикой мониторинга состояния и развития конкуренции в субъекте Российской Федерации, утверждаемой Федеральной антимонопольной службой. Результаты мониторинга направляются Федерал</w:t>
      </w:r>
      <w:r>
        <w:t>ьной антимонопольной службой исполнительным органам субъекта Российской Федерации.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26. Результаты мониторинга учитываются исполнительными органами субъектов Российской Федерации при анализе деятельности и планировании мероприятий по содействию развитию кон</w:t>
      </w:r>
      <w:r>
        <w:t>куренции и разработке ключевых показателей на предстоящий период.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27. В целях оперативного реагирования и совершенствования условий осуществления предпринимательской деятельности субъект Российской Федерации вправе осуществлять дополнительный мониторинг, н</w:t>
      </w:r>
      <w:r>
        <w:t>аправленный на выявление проблемных вопросов в сфере развития конкуренции.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jc w:val="center"/>
      </w:pPr>
      <w:r>
        <w:t>V. Подготовка ежегодного доклада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>28. По результатам деятельности исполнительных органов субъекта Российской Федерации и органов местного самоуправления по выполнению мероприятий по содействию развитию конкуренции уполномоченный орган подготавливает ежегодный доклад, содержащий в том числе</w:t>
      </w:r>
      <w:r>
        <w:t>: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а) анализ результативности и эффективности деятельности исполнительных органов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 "дорожной карты";</w:t>
      </w:r>
      <w:proofErr w:type="gramEnd"/>
    </w:p>
    <w:p w:rsidR="00294B41" w:rsidRDefault="00873E10">
      <w:pPr>
        <w:pStyle w:val="ConsPlusNormal0"/>
        <w:spacing w:before="240"/>
        <w:ind w:firstLine="540"/>
        <w:jc w:val="both"/>
      </w:pPr>
      <w:r>
        <w:t>б) пред</w:t>
      </w:r>
      <w:r>
        <w:t>ложения о повышении эффективности и результативности деятельности исполнительных органов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</w:t>
      </w:r>
      <w:r>
        <w:t>енции;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в) иную информацию, характеризующую состояние конкуренции в субъекте Российской Федерации (при необходимости).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29. Ежегодный доклад по результатам рассмотрения утверждается коллегиальным органом и в срок до 30 апреля года, следующего за отчетным, направляется уполномоченным органом в Федеральную антимонопольную службу, территориальное учреждение Центрального банка </w:t>
      </w:r>
      <w:r>
        <w:t>Российской Федерации по месту нахождения уполномоченного органа.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30. На основе предложений об улучшении деятельности в области содействия развитию конкуренции, содержащихся в ежегодном докладе, коллегиальный орган вносит предложения о корректировке "дорожн</w:t>
      </w:r>
      <w:r>
        <w:t>ой карты".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Title0"/>
        <w:jc w:val="center"/>
        <w:outlineLvl w:val="1"/>
      </w:pPr>
      <w:r>
        <w:t xml:space="preserve">VI. Повышение уровня информированности </w:t>
      </w:r>
      <w:proofErr w:type="gramStart"/>
      <w:r>
        <w:t>хозяйствующих</w:t>
      </w:r>
      <w:proofErr w:type="gramEnd"/>
    </w:p>
    <w:p w:rsidR="00294B41" w:rsidRDefault="00873E10">
      <w:pPr>
        <w:pStyle w:val="ConsPlusTitle0"/>
        <w:jc w:val="center"/>
      </w:pPr>
      <w:r>
        <w:t>субъектов и потребителей о состоянии конкуренции</w:t>
      </w:r>
    </w:p>
    <w:p w:rsidR="00294B41" w:rsidRDefault="00873E10">
      <w:pPr>
        <w:pStyle w:val="ConsPlusTitle0"/>
        <w:jc w:val="center"/>
      </w:pPr>
      <w:r>
        <w:t>и деятельности по содействию развитию конкуренции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 xml:space="preserve">31. </w:t>
      </w:r>
      <w:proofErr w:type="gramStart"/>
      <w:r>
        <w:t>На официальном сайте уполномоченного органа в сети "Интернет" в отдельном разделе не ре</w:t>
      </w:r>
      <w:r>
        <w:t>же чем один раз в год размещаются ежегодный доклад, информация о выполнении требований стандарта и мероприятий "дорожной карты", документы, принимаемые во исполнение стандарта и "дорожной карты" и в целях содействия развитию конкуренции, а также сведения о</w:t>
      </w:r>
      <w:r>
        <w:t>б эффекте, достигнутом при внедрении стандарта.</w:t>
      </w:r>
      <w:proofErr w:type="gramEnd"/>
      <w:r>
        <w:t xml:space="preserve"> Аналогичная информация размещается в отдельном разделе </w:t>
      </w:r>
      <w:proofErr w:type="gramStart"/>
      <w:r>
        <w:t>интернет-портала</w:t>
      </w:r>
      <w:proofErr w:type="gramEnd"/>
      <w:r>
        <w:t xml:space="preserve"> об инвестиционной деятельности в субъекте Российской Федерации.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>Информация о деятельности исполнительных органов субъекта Российской Фед</w:t>
      </w:r>
      <w:r>
        <w:t>ерации и органов местного самоуправления (в рамках соглашения) по содействию развитию конкуренции также размещается для общего сведения в средствах массовой информации.</w:t>
      </w:r>
    </w:p>
    <w:p w:rsidR="00294B41" w:rsidRDefault="00873E10">
      <w:pPr>
        <w:pStyle w:val="ConsPlusNormal0"/>
        <w:spacing w:before="240"/>
        <w:ind w:firstLine="540"/>
        <w:jc w:val="both"/>
      </w:pPr>
      <w:proofErr w:type="gramStart"/>
      <w:r>
        <w:t>На официальном сайте уполномоченного органа в сети "Интернет" и в отдельном разделе инт</w:t>
      </w:r>
      <w:r>
        <w:t>ернет-портала об инвестиционной деятельности в субъекте Российской Федерации размещается информация о мерах и инфраструктуре поддержки субъектов малого и среднего предпринимательства и социально ориентированных некоммерческих организаций (включая отдельный</w:t>
      </w:r>
      <w:r>
        <w:t xml:space="preserve"> подраздел для производителей сельскохозяйственной продукции), систематизированная по приоритетам развития субъекта Российской Федерации и видам деятельности, с указанием порядка получения указанной поддержки</w:t>
      </w:r>
      <w:proofErr w:type="gramEnd"/>
      <w:r>
        <w:t xml:space="preserve"> (в том числе в виде схемы) и показателей эффект</w:t>
      </w:r>
      <w:r>
        <w:t>ивности региональной программы, в рамках которой осуществляется эта деятельность.</w:t>
      </w:r>
    </w:p>
    <w:p w:rsidR="00294B41" w:rsidRDefault="00873E10">
      <w:pPr>
        <w:pStyle w:val="ConsPlusNormal0"/>
        <w:spacing w:before="240"/>
        <w:ind w:firstLine="540"/>
        <w:jc w:val="both"/>
      </w:pPr>
      <w:r>
        <w:t xml:space="preserve">32. В целях общественного </w:t>
      </w:r>
      <w:proofErr w:type="gramStart"/>
      <w:r>
        <w:t>контроля за</w:t>
      </w:r>
      <w:proofErr w:type="gramEnd"/>
      <w:r>
        <w:t xml:space="preserve"> деятельностью исполнительных органов субъекта Российской Федерации Федеральной антимонопольной службой организуется обсуждение вопросов </w:t>
      </w:r>
      <w:r>
        <w:t>достижения ключевых показателей и внедрения стандарта.</w:t>
      </w:r>
    </w:p>
    <w:p w:rsidR="00294B41" w:rsidRDefault="00294B41">
      <w:pPr>
        <w:pStyle w:val="ConsPlusNormal0"/>
        <w:jc w:val="both"/>
      </w:pPr>
    </w:p>
    <w:p w:rsidR="00294B41" w:rsidRDefault="00294B41">
      <w:pPr>
        <w:pStyle w:val="ConsPlusNormal0"/>
        <w:jc w:val="both"/>
      </w:pPr>
    </w:p>
    <w:p w:rsidR="00294B41" w:rsidRDefault="00294B41">
      <w:pPr>
        <w:pStyle w:val="ConsPlusNormal0"/>
        <w:jc w:val="both"/>
      </w:pPr>
    </w:p>
    <w:p w:rsidR="00294B41" w:rsidRDefault="00294B41">
      <w:pPr>
        <w:pStyle w:val="ConsPlusNormal0"/>
        <w:jc w:val="both"/>
      </w:pP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jc w:val="right"/>
        <w:outlineLvl w:val="1"/>
      </w:pPr>
      <w:r>
        <w:t>Приложение</w:t>
      </w:r>
    </w:p>
    <w:p w:rsidR="00294B41" w:rsidRDefault="00873E10">
      <w:pPr>
        <w:pStyle w:val="ConsPlusNormal0"/>
        <w:jc w:val="right"/>
      </w:pPr>
      <w:r>
        <w:t>к стандарту развития конкуренции</w:t>
      </w:r>
    </w:p>
    <w:p w:rsidR="00294B41" w:rsidRDefault="00873E10">
      <w:pPr>
        <w:pStyle w:val="ConsPlusNormal0"/>
        <w:jc w:val="right"/>
      </w:pPr>
      <w:r>
        <w:t>в субъектах Российской Федерации</w:t>
      </w:r>
    </w:p>
    <w:p w:rsidR="00294B41" w:rsidRDefault="00294B41">
      <w:pPr>
        <w:pStyle w:val="ConsPlusNormal0"/>
        <w:jc w:val="both"/>
      </w:pPr>
    </w:p>
    <w:p w:rsidR="00294B41" w:rsidRDefault="00873E10">
      <w:pPr>
        <w:pStyle w:val="ConsPlusTitle0"/>
        <w:jc w:val="center"/>
      </w:pPr>
      <w:bookmarkStart w:id="3" w:name="P200"/>
      <w:bookmarkEnd w:id="3"/>
      <w:r>
        <w:t>ПЕРЕЧЕНЬ</w:t>
      </w:r>
    </w:p>
    <w:p w:rsidR="00294B41" w:rsidRDefault="00873E10">
      <w:pPr>
        <w:pStyle w:val="ConsPlusTitle0"/>
        <w:jc w:val="center"/>
      </w:pPr>
      <w:r>
        <w:t>ПРИОРИТЕТНЫХ ТОВАРНЫХ РЫНКОВ ДЛЯ СОДЕЙСТВИЯ РАЗВИТИЮ</w:t>
      </w:r>
    </w:p>
    <w:p w:rsidR="00294B41" w:rsidRDefault="00873E10">
      <w:pPr>
        <w:pStyle w:val="ConsPlusTitle0"/>
        <w:jc w:val="center"/>
      </w:pPr>
      <w:r>
        <w:t>КОНКУРЕНЦИИ В СУБЪЕКТЕ РОССИЙСКОЙ ФЕДЕРАЦИИ</w:t>
      </w:r>
    </w:p>
    <w:p w:rsidR="00294B41" w:rsidRDefault="00294B4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699"/>
        <w:gridCol w:w="2891"/>
      </w:tblGrid>
      <w:tr w:rsidR="00294B41"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4B41" w:rsidRDefault="00873E10">
            <w:pPr>
              <w:pStyle w:val="ConsPlusNormal0"/>
              <w:jc w:val="center"/>
            </w:pPr>
            <w:r>
              <w:t>Наименование товарного рынка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294B41" w:rsidRDefault="00873E10">
            <w:pPr>
              <w:pStyle w:val="ConsPlusNormal0"/>
              <w:jc w:val="center"/>
            </w:pPr>
            <w:r>
              <w:t>Наименование ключевого показателя развития конкуренции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Минимальное значение целевого результата развития конкуренции к 31 декабря 2030 г.</w:t>
            </w:r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1. Рынок производства и реализации сельскохозяйственной продукции, в том числе продукции</w:t>
            </w:r>
            <w:r>
              <w:t xml:space="preserve"> крестьянских (фермерских) хозяйств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2. 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3. Рынок оказания медицинских услуг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5. 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6.</w:t>
            </w:r>
            <w:r>
              <w:t xml:space="preserve"> 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7. Рынок торговли продовольственными товарами в неспециализированных магазинах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</w:pPr>
            <w:r>
              <w:t>8. Рынок гостиничных услуг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 xml:space="preserve">+ 1 рейтинговый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  <w:tr w:rsidR="00294B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B41" w:rsidRDefault="00873E10">
            <w:pPr>
              <w:pStyle w:val="ConsPlusNormal0"/>
            </w:pPr>
            <w:r>
              <w:t>9. Рынок оказания услуг по общественному питанию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рост индекса конкуренции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B41" w:rsidRDefault="00873E10">
            <w:pPr>
              <w:pStyle w:val="ConsPlusNormal0"/>
              <w:jc w:val="center"/>
            </w:pPr>
            <w:r>
              <w:t>+ 1 ре</w:t>
            </w:r>
            <w:r>
              <w:t xml:space="preserve">йтинговый класс индекса конкуренции </w:t>
            </w:r>
            <w:hyperlink w:anchor="P236" w:tooltip="&lt;*&gt;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и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294B41" w:rsidRDefault="00294B41">
      <w:pPr>
        <w:pStyle w:val="ConsPlusNormal0"/>
        <w:jc w:val="both"/>
      </w:pPr>
    </w:p>
    <w:p w:rsidR="00294B41" w:rsidRDefault="00873E10">
      <w:pPr>
        <w:pStyle w:val="ConsPlusNormal0"/>
        <w:ind w:firstLine="540"/>
        <w:jc w:val="both"/>
      </w:pPr>
      <w:r>
        <w:t>--------------------------------</w:t>
      </w:r>
    </w:p>
    <w:p w:rsidR="00294B41" w:rsidRDefault="00873E10">
      <w:pPr>
        <w:pStyle w:val="ConsPlusNormal0"/>
        <w:spacing w:before="240"/>
        <w:ind w:firstLine="540"/>
        <w:jc w:val="both"/>
      </w:pPr>
      <w:bookmarkStart w:id="4" w:name="P236"/>
      <w:bookmarkEnd w:id="4"/>
      <w:r>
        <w:t>&lt;*&gt;</w:t>
      </w:r>
      <w:r>
        <w:t xml:space="preserve"> Методика расчета индекса конкуренции определяется ФАС России. Минимальное значение целевого результата развития конкуренции к 31 декабря 2030 г. определяется по сравнению с базовым значением по итогам 2025 года. В случае если базовым значением является на</w:t>
      </w:r>
      <w:r>
        <w:t>ивысший рейтинговый класс индекса конкуренции, целевым результатом развития конкуренции будет являться сохранение наивысшего рейтингового класса индекса конкуренции.</w:t>
      </w:r>
    </w:p>
    <w:p w:rsidR="00294B41" w:rsidRDefault="00294B41">
      <w:pPr>
        <w:pStyle w:val="ConsPlusNormal0"/>
        <w:jc w:val="both"/>
      </w:pPr>
    </w:p>
    <w:p w:rsidR="00294B41" w:rsidRDefault="00294B41">
      <w:pPr>
        <w:pStyle w:val="ConsPlusNormal0"/>
        <w:jc w:val="both"/>
      </w:pPr>
    </w:p>
    <w:p w:rsidR="00294B41" w:rsidRDefault="00294B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4B41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10" w:rsidRDefault="00873E10">
      <w:r>
        <w:separator/>
      </w:r>
    </w:p>
  </w:endnote>
  <w:endnote w:type="continuationSeparator" w:id="0">
    <w:p w:rsidR="00873E10" w:rsidRDefault="0087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41" w:rsidRDefault="00294B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4B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4B41" w:rsidRDefault="00873E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4B41" w:rsidRDefault="00873E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4B41" w:rsidRDefault="00873E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10B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10BC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294B41" w:rsidRDefault="00873E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41" w:rsidRDefault="00294B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4B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4B41" w:rsidRDefault="00873E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4B41" w:rsidRDefault="00873E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4B41" w:rsidRDefault="00873E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10B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10BC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294B41" w:rsidRDefault="00873E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10" w:rsidRDefault="00873E10">
      <w:r>
        <w:separator/>
      </w:r>
    </w:p>
  </w:footnote>
  <w:footnote w:type="continuationSeparator" w:id="0">
    <w:p w:rsidR="00873E10" w:rsidRDefault="0087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94B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94B41" w:rsidRDefault="00873E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17.04.2019 N 768-р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07.02.2026)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стандарта развития конкуренции ...</w:t>
          </w:r>
        </w:p>
      </w:tc>
      <w:tc>
        <w:tcPr>
          <w:tcW w:w="2300" w:type="pct"/>
          <w:vAlign w:val="center"/>
        </w:tcPr>
        <w:p w:rsidR="00294B41" w:rsidRDefault="00873E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26.02.2026</w:t>
          </w:r>
        </w:p>
      </w:tc>
    </w:tr>
  </w:tbl>
  <w:p w:rsidR="00294B41" w:rsidRDefault="00294B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4B41" w:rsidRDefault="00294B4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94B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94B41" w:rsidRDefault="00873E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17.04.2019 N 768-р</w:t>
          </w:r>
          <w:r>
            <w:rPr>
              <w:rFonts w:ascii="Tahoma" w:hAnsi="Tahoma" w:cs="Tahoma"/>
              <w:sz w:val="16"/>
              <w:szCs w:val="16"/>
            </w:rPr>
            <w:br/>
            <w:t>(ред. от 07.02.2026)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стандарта развития конкуренции ...</w:t>
          </w:r>
        </w:p>
      </w:tc>
      <w:tc>
        <w:tcPr>
          <w:tcW w:w="2300" w:type="pct"/>
          <w:vAlign w:val="center"/>
        </w:tcPr>
        <w:p w:rsidR="00294B41" w:rsidRDefault="00873E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 w:rsidR="00294B41" w:rsidRDefault="00294B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4B41" w:rsidRDefault="00294B4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41"/>
    <w:rsid w:val="00294B41"/>
    <w:rsid w:val="003C10BC"/>
    <w:rsid w:val="0087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10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10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6097&amp;date=26.02.2026&amp;dst=100010&amp;field=134" TargetMode="External"/><Relationship Id="rId18" Type="http://schemas.openxmlformats.org/officeDocument/2006/relationships/hyperlink" Target="https://login.consultant.ru/link/?req=doc&amp;base=LAW&amp;n=285796&amp;date=26.02.2026&amp;dst=100038&amp;field=13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132&amp;date=26.02.2026&amp;dst=352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6097&amp;date=26.02.2026&amp;dst=100009&amp;field=134" TargetMode="External"/><Relationship Id="rId17" Type="http://schemas.openxmlformats.org/officeDocument/2006/relationships/hyperlink" Target="https://login.consultant.ru/link/?req=doc&amp;base=LAW&amp;n=526097&amp;date=26.02.2026&amp;dst=100019&amp;field=134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4838&amp;date=26.02.2026" TargetMode="External"/><Relationship Id="rId20" Type="http://schemas.openxmlformats.org/officeDocument/2006/relationships/hyperlink" Target="https://login.consultant.ru/link/?req=doc&amp;base=LAW&amp;n=285796&amp;date=26.02.202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097&amp;date=26.02.2026&amp;dst=100008&amp;field=134" TargetMode="External"/><Relationship Id="rId24" Type="http://schemas.openxmlformats.org/officeDocument/2006/relationships/hyperlink" Target="https://login.consultant.ru/link/?req=doc&amp;base=LAW&amp;n=501319&amp;date=26.02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04886&amp;date=26.02.2026" TargetMode="External"/><Relationship Id="rId23" Type="http://schemas.openxmlformats.org/officeDocument/2006/relationships/hyperlink" Target="https://login.consultant.ru/link/?req=doc&amp;base=LAW&amp;n=520117&amp;date=26.02.2026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6097&amp;date=26.02.2026&amp;dst=100003&amp;field=134" TargetMode="External"/><Relationship Id="rId19" Type="http://schemas.openxmlformats.org/officeDocument/2006/relationships/hyperlink" Target="https://login.consultant.ru/link/?req=doc&amp;base=LAW&amp;n=285796&amp;date=26.02.2026&amp;dst=10004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6097&amp;date=26.02.2026&amp;dst=100018&amp;field=134" TargetMode="External"/><Relationship Id="rId22" Type="http://schemas.openxmlformats.org/officeDocument/2006/relationships/hyperlink" Target="https://login.consultant.ru/link/?req=doc&amp;base=LAW&amp;n=500132&amp;date=26.02.2026&amp;dst=100153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6739</Words>
  <Characters>38417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17.04.2019 N 768-р
(ред. от 07.02.2026)
&lt;Об утверждении стандарта развития конкуренции в субъектах Российской Федерации&gt;</vt:lpstr>
    </vt:vector>
  </TitlesOfParts>
  <Company>КонсультантПлюс Версия 4025.00.50</Company>
  <LinksUpToDate>false</LinksUpToDate>
  <CharactersWithSpaces>45066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17.04.2019 N 768-р
(ред. от 07.02.2026)
&lt;Об утверждении стандарта развития конкуренции в субъектах Российской Федерации&gt;</dc:title>
  <dc:creator>Некрасова О.Ю.</dc:creator>
  <cp:lastModifiedBy>Ащеулова Т.Я.</cp:lastModifiedBy>
  <cp:revision>2</cp:revision>
  <dcterms:created xsi:type="dcterms:W3CDTF">2026-02-26T04:12:00Z</dcterms:created>
  <dcterms:modified xsi:type="dcterms:W3CDTF">2026-02-26T04:12:00Z</dcterms:modified>
</cp:coreProperties>
</file>