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Lines w:val="1"/>
        <w:widowControl w:val="0"/>
        <w:ind w:firstLine="142" w:left="-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риложение №1</w:t>
      </w:r>
    </w:p>
    <w:p w14:paraId="02000000">
      <w:pPr>
        <w:keepLines w:val="1"/>
        <w:widowControl w:val="0"/>
        <w:ind w:firstLine="0" w:left="4820"/>
        <w:jc w:val="right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   администрации</w:t>
      </w:r>
    </w:p>
    <w:p w14:paraId="03000000">
      <w:pPr>
        <w:keepLines w:val="1"/>
        <w:widowControl w:val="0"/>
        <w:ind w:firstLine="0" w:left="4820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Крапивинского муниципального </w:t>
      </w:r>
      <w:r>
        <w:rPr>
          <w:rFonts w:ascii="Times New Roman" w:hAnsi="Times New Roman"/>
        </w:rPr>
        <w:t>округа</w:t>
      </w:r>
    </w:p>
    <w:p w14:paraId="04000000">
      <w:pPr>
        <w:ind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>29.01.2025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84</w:t>
      </w:r>
    </w:p>
    <w:p w14:paraId="05000000">
      <w:pPr>
        <w:rPr>
          <w:rFonts w:ascii="Times New Roman" w:hAnsi="Times New Roman"/>
          <w:sz w:val="28"/>
        </w:rPr>
      </w:pPr>
    </w:p>
    <w:p w14:paraId="06000000">
      <w:pPr>
        <w:tabs>
          <w:tab w:leader="none" w:pos="4125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Состав совета по инвестиционной деятельности </w:t>
      </w:r>
    </w:p>
    <w:p w14:paraId="07000000">
      <w:pPr>
        <w:tabs>
          <w:tab w:leader="none" w:pos="4125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 главе Крапивинского муниципального округа</w:t>
      </w:r>
    </w:p>
    <w:p w14:paraId="08000000">
      <w:pPr>
        <w:tabs>
          <w:tab w:leader="none" w:pos="412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Layout w:type="fixed"/>
      </w:tblPr>
      <w:tblGrid>
        <w:gridCol w:w="4784"/>
        <w:gridCol w:w="4785"/>
      </w:tblGrid>
      <w:tr>
        <w:tc>
          <w:tcPr>
            <w:tcW w:type="dxa" w:w="4784"/>
            <w:shd w:fill="auto" w:val="clear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Климина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Татьяна Ивановна</w:t>
            </w:r>
          </w:p>
        </w:tc>
        <w:tc>
          <w:tcPr>
            <w:tcW w:type="dxa" w:w="4785"/>
            <w:shd w:fill="auto" w:val="clear"/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Крапивинского муниципального округа, председатель совета</w:t>
            </w:r>
          </w:p>
          <w:p w14:paraId="0C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Харламов</w:t>
            </w:r>
          </w:p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Николаевич</w:t>
            </w:r>
          </w:p>
        </w:tc>
        <w:tc>
          <w:tcPr>
            <w:tcW w:type="dxa" w:w="4785"/>
            <w:shd w:fill="auto" w:val="clear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Крапивинского муниципального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(по экономике)</w:t>
            </w:r>
            <w:r>
              <w:rPr>
                <w:rFonts w:ascii="Times New Roman" w:hAnsi="Times New Roman"/>
                <w:sz w:val="28"/>
              </w:rPr>
              <w:t>, заместитель председателя совета</w:t>
            </w:r>
          </w:p>
          <w:p w14:paraId="10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Шульга</w:t>
            </w:r>
          </w:p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Анастасия Сергеевна</w:t>
            </w:r>
          </w:p>
        </w:tc>
        <w:tc>
          <w:tcPr>
            <w:tcW w:type="dxa" w:w="4785"/>
            <w:shd w:fill="auto" w:val="clear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отдела предпринимательства и потребительского рынка администрации Крапивинского муниципального округа, секретарь совета</w:t>
            </w:r>
          </w:p>
          <w:p w14:paraId="14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15000000">
            <w:pPr>
              <w:rPr>
                <w:rFonts w:ascii="Times New Roman" w:hAnsi="Times New Roman"/>
                <w:sz w:val="28"/>
              </w:rPr>
            </w:pPr>
          </w:p>
          <w:p w14:paraId="16000000">
            <w:pPr>
              <w:rPr>
                <w:rFonts w:ascii="Times New Roman" w:hAnsi="Times New Roman"/>
                <w:sz w:val="28"/>
              </w:rPr>
            </w:pPr>
          </w:p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Арнольд</w:t>
            </w:r>
          </w:p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Фридриховна</w:t>
            </w:r>
          </w:p>
        </w:tc>
        <w:tc>
          <w:tcPr>
            <w:tcW w:type="dxa" w:w="4785"/>
            <w:shd w:fill="auto" w:val="clear"/>
          </w:tcPr>
          <w:p w14:paraId="19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Члены совета:</w:t>
            </w:r>
          </w:p>
          <w:p w14:paraId="1A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главы Крапивинского муниципального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(по жилищно-коммунальному хозяйству, капитальному строительству и дорожному хозяйству)</w:t>
            </w:r>
          </w:p>
          <w:p w14:paraId="1C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Стоянова</w:t>
            </w:r>
          </w:p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Васильевна</w:t>
            </w:r>
          </w:p>
        </w:tc>
        <w:tc>
          <w:tcPr>
            <w:tcW w:type="dxa" w:w="4785"/>
            <w:shd w:fill="auto" w:val="clear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– начальник финансового управления администрации Крапивинского муниципального округа</w:t>
            </w:r>
          </w:p>
          <w:p w14:paraId="20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Слонов</w:t>
            </w:r>
          </w:p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Евгений Александрович</w:t>
            </w:r>
          </w:p>
        </w:tc>
        <w:tc>
          <w:tcPr>
            <w:tcW w:type="dxa" w:w="4785"/>
            <w:shd w:fill="auto" w:val="clear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Крапивинского муниципального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(по внутренней политике</w:t>
            </w:r>
            <w:r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t xml:space="preserve">  безопасности)</w:t>
            </w:r>
          </w:p>
          <w:p w14:paraId="24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Реванченко</w:t>
            </w:r>
          </w:p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Андрей Александрович</w:t>
            </w:r>
          </w:p>
        </w:tc>
        <w:tc>
          <w:tcPr>
            <w:tcW w:type="dxa" w:w="4785"/>
            <w:shd w:fill="auto" w:val="clear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Крапивинского муниципального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(по сельскому хозяйству, экологии и лесоустройству)</w:t>
            </w:r>
          </w:p>
          <w:p w14:paraId="28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Голошумова</w:t>
            </w:r>
          </w:p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Екатерина Анатольевна</w:t>
            </w:r>
          </w:p>
        </w:tc>
        <w:tc>
          <w:tcPr>
            <w:tcW w:type="dxa" w:w="4785"/>
            <w:shd w:fill="auto" w:val="clear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Крапивинского муниципального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(по социальным вопросам)</w:t>
            </w:r>
          </w:p>
          <w:p w14:paraId="2C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Исапова</w:t>
            </w:r>
          </w:p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Александровна</w:t>
            </w:r>
          </w:p>
        </w:tc>
        <w:tc>
          <w:tcPr>
            <w:tcW w:type="dxa" w:w="4785"/>
            <w:shd w:fill="auto" w:val="clear"/>
          </w:tcPr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народных депутатов Крапивинского муниципального округа (по согласованию)</w:t>
            </w:r>
          </w:p>
          <w:p w14:paraId="30000000">
            <w:pPr>
              <w:ind w:firstLine="0" w:left="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Бобровская</w:t>
            </w:r>
          </w:p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Раиса Владимировна</w:t>
            </w:r>
          </w:p>
        </w:tc>
        <w:tc>
          <w:tcPr>
            <w:tcW w:type="dxa" w:w="4785"/>
            <w:shd w:fill="auto" w:val="clear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экономического развития администрации Крапивинского муниципального округа</w:t>
            </w:r>
          </w:p>
          <w:p w14:paraId="34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Култаева</w:t>
            </w:r>
          </w:p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Андреевна</w:t>
            </w:r>
          </w:p>
        </w:tc>
        <w:tc>
          <w:tcPr>
            <w:tcW w:type="dxa" w:w="4785"/>
            <w:shd w:fill="auto" w:val="clear"/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предпринимательства и потребительского рынка администрации Крапивинского муниципального округа</w:t>
            </w:r>
          </w:p>
          <w:p w14:paraId="38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Ларина</w:t>
            </w:r>
          </w:p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Екатерина Валентиновна</w:t>
            </w:r>
          </w:p>
        </w:tc>
        <w:tc>
          <w:tcPr>
            <w:tcW w:type="dxa" w:w="4785"/>
            <w:shd w:fill="auto" w:val="clear"/>
          </w:tcPr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комитета по управлению муниципальным имуществом администрации Крапивинского муниципального округа</w:t>
            </w:r>
          </w:p>
          <w:p w14:paraId="3C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Мирошников</w:t>
            </w:r>
          </w:p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Юрьевич</w:t>
            </w:r>
          </w:p>
        </w:tc>
        <w:tc>
          <w:tcPr>
            <w:tcW w:type="dxa" w:w="4785"/>
            <w:shd w:fill="auto" w:val="clear"/>
          </w:tcPr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архитектуры</w:t>
            </w:r>
            <w:r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t xml:space="preserve"> градостроительства администрации Крапивинского муниципального округа</w:t>
            </w:r>
          </w:p>
          <w:p w14:paraId="40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Болотова</w:t>
            </w:r>
          </w:p>
          <w:p w14:paraId="4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Татьяна Валерьевна</w:t>
            </w:r>
          </w:p>
        </w:tc>
        <w:tc>
          <w:tcPr>
            <w:tcW w:type="dxa" w:w="4785"/>
            <w:shd w:fill="auto" w:val="clear"/>
          </w:tcPr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юридического отдела администрации Крапивинского муниципального округа</w:t>
            </w:r>
          </w:p>
          <w:p w14:paraId="44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4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Шабурова</w:t>
            </w:r>
          </w:p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Сергеевна</w:t>
            </w:r>
          </w:p>
        </w:tc>
        <w:tc>
          <w:tcPr>
            <w:tcW w:type="dxa" w:w="4785"/>
            <w:shd w:fill="auto" w:val="clear"/>
          </w:tcPr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Межрайонной инспекции Федеральной налоговой службы России №2 по Кемеровской области</w:t>
            </w:r>
            <w:r>
              <w:rPr>
                <w:rFonts w:ascii="Times New Roman" w:hAnsi="Times New Roman"/>
                <w:sz w:val="28"/>
              </w:rPr>
              <w:t xml:space="preserve"> - Кузбассу</w:t>
            </w:r>
            <w:r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  <w:p w14:paraId="48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Лесникова</w:t>
            </w:r>
          </w:p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Юрьевна</w:t>
            </w:r>
          </w:p>
        </w:tc>
        <w:tc>
          <w:tcPr>
            <w:tcW w:type="dxa" w:w="4785"/>
            <w:shd w:fill="auto" w:val="clear"/>
          </w:tcPr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Ленинск-Кузнецкого отдела Управления Федеральной службы государственной регистрации, кадастра и картографии по Кемеровской области</w:t>
            </w:r>
            <w:r>
              <w:rPr>
                <w:rFonts w:ascii="Times New Roman" w:hAnsi="Times New Roman"/>
                <w:sz w:val="28"/>
              </w:rPr>
              <w:t xml:space="preserve"> - Кузбассу</w:t>
            </w:r>
            <w:r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  <w:p w14:paraId="4C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shd w:fill="auto" w:val="clear"/>
          </w:tcPr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Щербинин</w:t>
            </w:r>
          </w:p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Александрович</w:t>
            </w:r>
          </w:p>
        </w:tc>
        <w:tc>
          <w:tcPr>
            <w:tcW w:type="dxa" w:w="4785"/>
            <w:shd w:fill="auto" w:val="clear"/>
          </w:tcPr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</w:rPr>
              <w:t xml:space="preserve">государственного казенного учреждения «Агентство по привлечению и защите инвестиций Кузбасса»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</w:tbl>
    <w:p w14:paraId="5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</w:p>
    <w:p w14:paraId="5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5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главы</w:t>
      </w:r>
    </w:p>
    <w:p w14:paraId="53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С.Н. Харламов</w:t>
      </w:r>
    </w:p>
    <w:p w14:paraId="54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(по экономике)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</w:t>
      </w:r>
    </w:p>
    <w:p w14:paraId="55000000">
      <w:pPr>
        <w:ind w:firstLine="0" w:left="0"/>
        <w:rPr>
          <w:rFonts w:ascii="Times New Roman" w:hAnsi="Times New Roman"/>
          <w:sz w:val="28"/>
        </w:rPr>
      </w:pPr>
    </w:p>
    <w:p w14:paraId="56000000">
      <w:pPr>
        <w:ind w:firstLine="0" w:left="0"/>
        <w:rPr>
          <w:rFonts w:ascii="Times New Roman" w:hAnsi="Times New Roman"/>
          <w:sz w:val="28"/>
        </w:rPr>
      </w:pPr>
    </w:p>
    <w:p w14:paraId="57000000">
      <w:pPr>
        <w:ind w:firstLine="0" w:left="0"/>
        <w:rPr>
          <w:rFonts w:ascii="Times New Roman" w:hAnsi="Times New Roman"/>
          <w:sz w:val="28"/>
        </w:rPr>
      </w:pPr>
    </w:p>
    <w:p w14:paraId="58000000">
      <w:pPr>
        <w:ind w:firstLine="0" w:left="0"/>
        <w:rPr>
          <w:rFonts w:ascii="Times New Roman" w:hAnsi="Times New Roman"/>
          <w:sz w:val="28"/>
        </w:rPr>
      </w:pPr>
    </w:p>
    <w:p w14:paraId="59000000">
      <w:pPr>
        <w:ind w:firstLine="0" w:left="0"/>
        <w:rPr>
          <w:rFonts w:ascii="Times New Roman" w:hAnsi="Times New Roman"/>
          <w:sz w:val="28"/>
        </w:rPr>
      </w:pPr>
    </w:p>
    <w:p w14:paraId="5A000000">
      <w:pPr>
        <w:ind w:firstLine="0" w:left="0"/>
        <w:rPr>
          <w:rFonts w:ascii="Times New Roman" w:hAnsi="Times New Roman"/>
          <w:sz w:val="28"/>
        </w:rPr>
      </w:pPr>
    </w:p>
    <w:p w14:paraId="5B000000">
      <w:pPr>
        <w:ind w:firstLine="0" w:left="0"/>
        <w:rPr>
          <w:rFonts w:ascii="Times New Roman" w:hAnsi="Times New Roman"/>
          <w:sz w:val="28"/>
        </w:rPr>
      </w:pPr>
    </w:p>
    <w:p w14:paraId="5C000000">
      <w:pPr>
        <w:ind w:firstLine="0" w:left="0"/>
        <w:rPr>
          <w:rFonts w:ascii="Times New Roman" w:hAnsi="Times New Roman"/>
          <w:sz w:val="28"/>
        </w:rPr>
      </w:pPr>
    </w:p>
    <w:p w14:paraId="5D000000">
      <w:pPr>
        <w:ind w:firstLine="0" w:left="0"/>
        <w:rPr>
          <w:rFonts w:ascii="Times New Roman" w:hAnsi="Times New Roman"/>
          <w:sz w:val="28"/>
        </w:rPr>
      </w:pPr>
    </w:p>
    <w:p w14:paraId="5E000000">
      <w:pPr>
        <w:ind w:firstLine="0" w:left="0"/>
        <w:rPr>
          <w:rFonts w:ascii="Times New Roman" w:hAnsi="Times New Roman"/>
          <w:sz w:val="28"/>
        </w:rPr>
      </w:pPr>
    </w:p>
    <w:p w14:paraId="5F000000">
      <w:pPr>
        <w:ind w:firstLine="0" w:left="0"/>
        <w:rPr>
          <w:rFonts w:ascii="Times New Roman" w:hAnsi="Times New Roman"/>
          <w:sz w:val="28"/>
        </w:rPr>
      </w:pPr>
    </w:p>
    <w:p w14:paraId="60000000">
      <w:pPr>
        <w:ind w:firstLine="0" w:left="0"/>
        <w:rPr>
          <w:rFonts w:ascii="Times New Roman" w:hAnsi="Times New Roman"/>
          <w:sz w:val="28"/>
        </w:rPr>
      </w:pPr>
    </w:p>
    <w:p w14:paraId="61000000">
      <w:pPr>
        <w:ind w:firstLine="0" w:left="0"/>
        <w:rPr>
          <w:rFonts w:ascii="Times New Roman" w:hAnsi="Times New Roman"/>
          <w:sz w:val="28"/>
        </w:rPr>
      </w:pPr>
    </w:p>
    <w:p w14:paraId="62000000">
      <w:pPr>
        <w:ind w:firstLine="0" w:left="0"/>
        <w:rPr>
          <w:rFonts w:ascii="Times New Roman" w:hAnsi="Times New Roman"/>
          <w:sz w:val="28"/>
        </w:rPr>
      </w:pPr>
    </w:p>
    <w:p w14:paraId="63000000">
      <w:pPr>
        <w:ind w:firstLine="0" w:left="0"/>
        <w:rPr>
          <w:rFonts w:ascii="Times New Roman" w:hAnsi="Times New Roman"/>
          <w:sz w:val="28"/>
        </w:rPr>
      </w:pPr>
    </w:p>
    <w:p w14:paraId="64000000">
      <w:pPr>
        <w:ind w:firstLine="0" w:left="0"/>
        <w:rPr>
          <w:rFonts w:ascii="Times New Roman" w:hAnsi="Times New Roman"/>
          <w:sz w:val="28"/>
        </w:rPr>
      </w:pPr>
    </w:p>
    <w:p w14:paraId="65000000">
      <w:pPr>
        <w:ind w:firstLine="0" w:left="0"/>
        <w:rPr>
          <w:rFonts w:ascii="Times New Roman" w:hAnsi="Times New Roman"/>
          <w:sz w:val="28"/>
        </w:rPr>
      </w:pPr>
    </w:p>
    <w:p w14:paraId="66000000">
      <w:pPr>
        <w:ind w:firstLine="0" w:left="0"/>
        <w:rPr>
          <w:rFonts w:ascii="Times New Roman" w:hAnsi="Times New Roman"/>
          <w:sz w:val="28"/>
        </w:rPr>
      </w:pPr>
    </w:p>
    <w:p w14:paraId="67000000">
      <w:pPr>
        <w:ind w:firstLine="0" w:left="0"/>
        <w:rPr>
          <w:rFonts w:ascii="Times New Roman" w:hAnsi="Times New Roman"/>
          <w:sz w:val="28"/>
        </w:rPr>
      </w:pPr>
    </w:p>
    <w:p w14:paraId="68000000">
      <w:pPr>
        <w:ind w:firstLine="0" w:left="0"/>
        <w:rPr>
          <w:rFonts w:ascii="Times New Roman" w:hAnsi="Times New Roman"/>
          <w:sz w:val="28"/>
        </w:rPr>
      </w:pPr>
    </w:p>
    <w:p w14:paraId="69000000">
      <w:pPr>
        <w:ind w:firstLine="0" w:left="0"/>
        <w:rPr>
          <w:rFonts w:ascii="Times New Roman" w:hAnsi="Times New Roman"/>
          <w:sz w:val="28"/>
        </w:rPr>
      </w:pPr>
    </w:p>
    <w:p w14:paraId="6A000000">
      <w:pPr>
        <w:ind w:firstLine="0" w:left="0"/>
        <w:rPr>
          <w:rFonts w:ascii="Times New Roman" w:hAnsi="Times New Roman"/>
          <w:sz w:val="28"/>
        </w:rPr>
      </w:pPr>
    </w:p>
    <w:p w14:paraId="6B000000">
      <w:pPr>
        <w:ind w:firstLine="0" w:left="0"/>
        <w:rPr>
          <w:rFonts w:ascii="Times New Roman" w:hAnsi="Times New Roman"/>
          <w:sz w:val="28"/>
        </w:rPr>
      </w:pPr>
    </w:p>
    <w:p w14:paraId="6C000000">
      <w:pPr>
        <w:ind w:firstLine="0" w:left="0"/>
        <w:rPr>
          <w:rFonts w:ascii="Times New Roman" w:hAnsi="Times New Roman"/>
          <w:sz w:val="28"/>
        </w:rPr>
      </w:pPr>
    </w:p>
    <w:p w14:paraId="6D000000">
      <w:pPr>
        <w:ind w:firstLine="0" w:left="0"/>
        <w:rPr>
          <w:rFonts w:ascii="Times New Roman" w:hAnsi="Times New Roman"/>
          <w:sz w:val="28"/>
        </w:rPr>
      </w:pPr>
    </w:p>
    <w:p w14:paraId="6E000000">
      <w:pPr>
        <w:ind w:firstLine="0" w:left="0"/>
        <w:rPr>
          <w:rFonts w:ascii="Times New Roman" w:hAnsi="Times New Roman"/>
          <w:sz w:val="28"/>
        </w:rPr>
      </w:pPr>
    </w:p>
    <w:p w14:paraId="6F000000">
      <w:pPr>
        <w:ind w:firstLine="0" w:left="0"/>
        <w:rPr>
          <w:rFonts w:ascii="Times New Roman" w:hAnsi="Times New Roman"/>
          <w:sz w:val="28"/>
        </w:rPr>
      </w:pPr>
    </w:p>
    <w:p w14:paraId="70000000">
      <w:pPr>
        <w:ind w:firstLine="0" w:left="0"/>
        <w:rPr>
          <w:rFonts w:ascii="Times New Roman" w:hAnsi="Times New Roman"/>
          <w:sz w:val="28"/>
        </w:rPr>
      </w:pPr>
    </w:p>
    <w:p w14:paraId="71000000">
      <w:pPr>
        <w:ind w:firstLine="0" w:left="0"/>
        <w:rPr>
          <w:rFonts w:ascii="Times New Roman" w:hAnsi="Times New Roman"/>
          <w:sz w:val="28"/>
        </w:rPr>
      </w:pPr>
    </w:p>
    <w:p w14:paraId="72000000">
      <w:pPr>
        <w:ind w:firstLine="0" w:left="0"/>
        <w:rPr>
          <w:rFonts w:ascii="Times New Roman" w:hAnsi="Times New Roman"/>
          <w:sz w:val="28"/>
        </w:rPr>
      </w:pPr>
    </w:p>
    <w:p w14:paraId="73000000">
      <w:pPr>
        <w:ind w:firstLine="0" w:left="0"/>
        <w:rPr>
          <w:rFonts w:ascii="Times New Roman" w:hAnsi="Times New Roman"/>
          <w:sz w:val="28"/>
        </w:rPr>
      </w:pPr>
    </w:p>
    <w:p w14:paraId="74000000">
      <w:pPr>
        <w:ind w:firstLine="0" w:left="0"/>
        <w:rPr>
          <w:rFonts w:ascii="Times New Roman" w:hAnsi="Times New Roman"/>
          <w:sz w:val="28"/>
        </w:rPr>
      </w:pPr>
    </w:p>
    <w:p w14:paraId="75000000">
      <w:pPr>
        <w:ind w:firstLine="0" w:left="0"/>
        <w:rPr>
          <w:rFonts w:ascii="Times New Roman" w:hAnsi="Times New Roman"/>
          <w:sz w:val="28"/>
        </w:rPr>
      </w:pPr>
    </w:p>
    <w:p w14:paraId="76000000">
      <w:pPr>
        <w:ind w:firstLine="0" w:left="0"/>
        <w:rPr>
          <w:rFonts w:ascii="Times New Roman" w:hAnsi="Times New Roman"/>
          <w:sz w:val="28"/>
        </w:rPr>
      </w:pPr>
    </w:p>
    <w:p w14:paraId="77000000">
      <w:pPr>
        <w:ind w:firstLine="0" w:left="0"/>
        <w:rPr>
          <w:rFonts w:ascii="Times New Roman" w:hAnsi="Times New Roman"/>
          <w:sz w:val="28"/>
        </w:rPr>
      </w:pPr>
    </w:p>
    <w:p w14:paraId="78000000">
      <w:pPr>
        <w:ind w:firstLine="0" w:left="0"/>
        <w:rPr>
          <w:rFonts w:ascii="Times New Roman" w:hAnsi="Times New Roman"/>
          <w:sz w:val="28"/>
        </w:rPr>
      </w:pPr>
    </w:p>
    <w:p w14:paraId="79000000">
      <w:pPr>
        <w:ind w:firstLine="0" w:left="0"/>
        <w:rPr>
          <w:rFonts w:ascii="Times New Roman" w:hAnsi="Times New Roman"/>
          <w:sz w:val="28"/>
        </w:rPr>
      </w:pPr>
    </w:p>
    <w:sectPr>
      <w:type w:val="continuous"/>
      <w:pgSz w:h="16838" w:orient="portrait" w:w="11905"/>
      <w:pgMar w:bottom="1134" w:footer="720" w:gutter="0" w:header="720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link w:val="Style_8_ch"/>
    <w:uiPriority w:val="9"/>
    <w:qFormat/>
    <w:pPr>
      <w:ind/>
      <w:outlineLvl w:val="2"/>
    </w:pPr>
    <w:rPr>
      <w:b w:val="1"/>
      <w:sz w:val="28"/>
    </w:rPr>
  </w:style>
  <w:style w:styleId="Style_8_ch" w:type="character">
    <w:name w:val="heading 3"/>
    <w:basedOn w:val="Style_2_ch"/>
    <w:link w:val="Style_8"/>
    <w:rPr>
      <w:b w:val="1"/>
      <w:sz w:val="28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Balloon Text"/>
    <w:basedOn w:val="Style_2"/>
    <w:link w:val="Style_10_ch"/>
    <w:rPr>
      <w:sz w:val="16"/>
    </w:rPr>
  </w:style>
  <w:style w:styleId="Style_10_ch" w:type="character">
    <w:name w:val="Balloon Text"/>
    <w:basedOn w:val="Style_2_ch"/>
    <w:link w:val="Style_10"/>
    <w:rPr>
      <w:sz w:val="1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Application!Приложение"/>
    <w:link w:val="Style_12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12_ch" w:type="character">
    <w:name w:val="Application!Приложение"/>
    <w:link w:val="Style_12"/>
    <w:rPr>
      <w:rFonts w:ascii="Arial" w:hAnsi="Arial"/>
      <w:b w:val="1"/>
      <w:sz w:val="32"/>
    </w:rPr>
  </w:style>
  <w:style w:styleId="Style_13" w:type="paragraph">
    <w:name w:val="Table!Таблица"/>
    <w:link w:val="Style_13_ch"/>
    <w:rPr>
      <w:rFonts w:ascii="Arial" w:hAnsi="Arial"/>
      <w:sz w:val="24"/>
    </w:rPr>
  </w:style>
  <w:style w:styleId="Style_13_ch" w:type="character">
    <w:name w:val="Table!Таблица"/>
    <w:link w:val="Style_13"/>
    <w:rPr>
      <w:rFonts w:ascii="Arial" w:hAnsi="Arial"/>
      <w:sz w:val="24"/>
    </w:rPr>
  </w:style>
  <w:style w:styleId="Style_14" w:type="paragraph">
    <w:name w:val="Table!"/>
    <w:next w:val="Style_13"/>
    <w:link w:val="Style_14_ch"/>
    <w:pPr>
      <w:ind/>
      <w:jc w:val="center"/>
    </w:pPr>
    <w:rPr>
      <w:rFonts w:ascii="Arial" w:hAnsi="Arial"/>
      <w:b w:val="1"/>
      <w:sz w:val="24"/>
    </w:rPr>
  </w:style>
  <w:style w:styleId="Style_14_ch" w:type="character">
    <w:name w:val="Table!"/>
    <w:link w:val="Style_14"/>
    <w:rPr>
      <w:rFonts w:ascii="Arial" w:hAnsi="Arial"/>
      <w:b w:val="1"/>
      <w:sz w:val="24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2"/>
    <w:next w:val="Style_2"/>
    <w:link w:val="Style_16_ch"/>
    <w:uiPriority w:val="9"/>
    <w:qFormat/>
    <w:pPr>
      <w:ind/>
      <w:jc w:val="center"/>
      <w:outlineLvl w:val="0"/>
    </w:pPr>
    <w:rPr>
      <w:b w:val="1"/>
      <w:sz w:val="32"/>
    </w:rPr>
  </w:style>
  <w:style w:styleId="Style_16_ch" w:type="character">
    <w:name w:val="heading 1"/>
    <w:basedOn w:val="Style_2_ch"/>
    <w:link w:val="Style_16"/>
    <w:rPr>
      <w:b w:val="1"/>
      <w:sz w:val="32"/>
    </w:rPr>
  </w:style>
  <w:style w:styleId="Style_17" w:type="paragraph">
    <w:name w:val="HTML Variable"/>
    <w:link w:val="Style_17_ch"/>
    <w:rPr>
      <w:rFonts w:ascii="Arial" w:hAnsi="Arial"/>
      <w:color w:val="0000FF"/>
      <w:sz w:val="24"/>
      <w:u w:val="none"/>
    </w:rPr>
  </w:style>
  <w:style w:styleId="Style_17_ch" w:type="character">
    <w:name w:val="HTML Variable"/>
    <w:link w:val="Style_17"/>
    <w:rPr>
      <w:rFonts w:ascii="Arial" w:hAnsi="Arial"/>
      <w:color w:val="0000FF"/>
      <w:sz w:val="24"/>
      <w:u w:val="none"/>
    </w:rPr>
  </w:style>
  <w:style w:styleId="Style_18" w:type="paragraph">
    <w:name w:val="Hyperlink"/>
    <w:link w:val="Style_18_ch"/>
    <w:rPr>
      <w:color w:val="0000FF"/>
      <w:u w:val="none"/>
    </w:rPr>
  </w:style>
  <w:style w:styleId="Style_18_ch" w:type="character">
    <w:name w:val="Hyperlink"/>
    <w:link w:val="Style_18"/>
    <w:rPr>
      <w:color w:val="0000FF"/>
      <w:u w:val="non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List Paragraph"/>
    <w:basedOn w:val="Style_2"/>
    <w:link w:val="Style_21_ch"/>
    <w:pPr>
      <w:ind w:firstLine="0" w:left="720"/>
      <w:contextualSpacing w:val="1"/>
    </w:pPr>
  </w:style>
  <w:style w:styleId="Style_21_ch" w:type="character">
    <w:name w:val="List Paragraph"/>
    <w:basedOn w:val="Style_2_ch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annotation text"/>
    <w:basedOn w:val="Style_2"/>
    <w:link w:val="Style_23_ch"/>
    <w:rPr>
      <w:rFonts w:ascii="Courier" w:hAnsi="Courier"/>
      <w:sz w:val="22"/>
    </w:rPr>
  </w:style>
  <w:style w:styleId="Style_23_ch" w:type="character">
    <w:name w:val="annotation text"/>
    <w:basedOn w:val="Style_2_ch"/>
    <w:link w:val="Style_23"/>
    <w:rPr>
      <w:rFonts w:ascii="Courier" w:hAnsi="Courier"/>
      <w:sz w:val="22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Title!Название НПА"/>
    <w:basedOn w:val="Style_2"/>
    <w:link w:val="Style_26_ch"/>
    <w:pPr>
      <w:spacing w:after="60" w:before="240"/>
      <w:ind/>
      <w:jc w:val="center"/>
      <w:outlineLvl w:val="0"/>
    </w:pPr>
    <w:rPr>
      <w:b w:val="1"/>
      <w:sz w:val="32"/>
    </w:rPr>
  </w:style>
  <w:style w:styleId="Style_26_ch" w:type="character">
    <w:name w:val="Title!Название НПА"/>
    <w:basedOn w:val="Style_2_ch"/>
    <w:link w:val="Style_26"/>
    <w:rPr>
      <w:b w:val="1"/>
      <w:sz w:val="32"/>
    </w:rPr>
  </w:style>
  <w:style w:styleId="Style_27" w:type="paragraph">
    <w:name w:val="toc 8"/>
    <w:next w:val="Style_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2"/>
    <w:link w:val="Style_31_ch"/>
    <w:uiPriority w:val="10"/>
    <w:qFormat/>
    <w:pPr>
      <w:ind/>
      <w:jc w:val="center"/>
    </w:pPr>
  </w:style>
  <w:style w:styleId="Style_31_ch" w:type="character">
    <w:name w:val="Title"/>
    <w:basedOn w:val="Style_2_ch"/>
    <w:link w:val="Style_31"/>
  </w:style>
  <w:style w:styleId="Style_32" w:type="paragraph">
    <w:name w:val="heading 4"/>
    <w:basedOn w:val="Style_2"/>
    <w:link w:val="Style_32_ch"/>
    <w:uiPriority w:val="9"/>
    <w:qFormat/>
    <w:pPr>
      <w:ind/>
      <w:outlineLvl w:val="3"/>
    </w:pPr>
    <w:rPr>
      <w:b w:val="1"/>
      <w:sz w:val="26"/>
    </w:rPr>
  </w:style>
  <w:style w:styleId="Style_32_ch" w:type="character">
    <w:name w:val="heading 4"/>
    <w:basedOn w:val="Style_2_ch"/>
    <w:link w:val="Style_32"/>
    <w:rPr>
      <w:b w:val="1"/>
      <w:sz w:val="26"/>
    </w:rPr>
  </w:style>
  <w:style w:styleId="Style_33" w:type="paragraph">
    <w:name w:val="ConsPlusCell"/>
    <w:link w:val="Style_33_ch"/>
    <w:pPr>
      <w:widowControl w:val="0"/>
      <w:ind/>
    </w:pPr>
    <w:rPr>
      <w:rFonts w:ascii="Arial" w:hAnsi="Arial"/>
    </w:rPr>
  </w:style>
  <w:style w:styleId="Style_33_ch" w:type="character">
    <w:name w:val="ConsPlusCell"/>
    <w:link w:val="Style_33"/>
    <w:rPr>
      <w:rFonts w:ascii="Arial" w:hAnsi="Arial"/>
    </w:rPr>
  </w:style>
  <w:style w:styleId="Style_34" w:type="paragraph">
    <w:name w:val="heading 2"/>
    <w:basedOn w:val="Style_2"/>
    <w:link w:val="Style_34_ch"/>
    <w:uiPriority w:val="9"/>
    <w:qFormat/>
    <w:pPr>
      <w:ind/>
      <w:jc w:val="center"/>
      <w:outlineLvl w:val="1"/>
    </w:pPr>
    <w:rPr>
      <w:b w:val="1"/>
      <w:sz w:val="30"/>
    </w:rPr>
  </w:style>
  <w:style w:styleId="Style_34_ch" w:type="character">
    <w:name w:val="heading 2"/>
    <w:basedOn w:val="Style_2_ch"/>
    <w:link w:val="Style_34"/>
    <w:rPr>
      <w:b w:val="1"/>
      <w:sz w:val="30"/>
    </w:rPr>
  </w:style>
  <w:style w:styleId="Style_35" w:type="paragraph">
    <w:name w:val="Body Text"/>
    <w:basedOn w:val="Style_2"/>
    <w:link w:val="Style_35_ch"/>
  </w:style>
  <w:style w:styleId="Style_35_ch" w:type="character">
    <w:name w:val="Body Text"/>
    <w:basedOn w:val="Style_2_ch"/>
    <w:link w:val="Style_35"/>
  </w:style>
  <w:style w:styleId="Style_3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Table List 3"/>
    <w:basedOn w:val="Style_1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2025-01-31T02:29:35Z</dcterms:modified>
</cp:coreProperties>
</file>