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drawing>
          <wp:inline>
            <wp:extent cx="426719" cy="5816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26719" cy="5816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</w:t>
      </w:r>
      <w:r>
        <w:rPr>
          <w:rFonts w:ascii="Times New Roman" w:hAnsi="Times New Roman"/>
          <w:b w:val="1"/>
          <w:sz w:val="32"/>
        </w:rPr>
        <w:t>ОССИЙСКАЯ ФЕДЕРАЦИЯ</w:t>
      </w:r>
    </w:p>
    <w:p w14:paraId="04000000">
      <w:pPr>
        <w:keepNext w:val="1"/>
        <w:spacing w:before="120"/>
        <w:ind w:firstLine="0" w:left="0"/>
        <w:jc w:val="center"/>
        <w:outlineLvl w:val="4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КЕМЕРОВСКАЯ ОБЛАСТЬ – КУЗБАСС</w:t>
      </w:r>
    </w:p>
    <w:p w14:paraId="05000000">
      <w:pPr>
        <w:keepNext w:val="1"/>
        <w:spacing w:after="240" w:before="120"/>
        <w:ind w:firstLine="0" w:left="0"/>
        <w:jc w:val="center"/>
        <w:outlineLvl w:val="4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КРАПИВИНСКИЙ МУНИЦИПАЛЬНЫЙ ОКРУГ</w:t>
      </w:r>
    </w:p>
    <w:p w14:paraId="06000000">
      <w:pPr>
        <w:keepNext w:val="1"/>
        <w:ind w:firstLine="0" w:left="0"/>
        <w:jc w:val="center"/>
        <w:outlineLvl w:val="4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АДМИНИСТРАЦИЯ </w:t>
      </w:r>
    </w:p>
    <w:p w14:paraId="07000000">
      <w:pPr>
        <w:keepNext w:val="1"/>
        <w:ind w:firstLine="0" w:left="0"/>
        <w:jc w:val="center"/>
        <w:outlineLvl w:val="4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КРАПИВИНСКОГО МУНИЦИПАЛЬНОГО </w:t>
      </w:r>
      <w:r>
        <w:rPr>
          <w:rFonts w:ascii="Times New Roman" w:hAnsi="Times New Roman"/>
          <w:b w:val="1"/>
          <w:sz w:val="32"/>
        </w:rPr>
        <w:t>ОКРУГА</w:t>
      </w:r>
    </w:p>
    <w:p w14:paraId="08000000">
      <w:pPr>
        <w:keepNext w:val="1"/>
        <w:spacing w:before="360"/>
        <w:ind w:firstLine="0" w:left="0"/>
        <w:jc w:val="center"/>
        <w:outlineLvl w:val="3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ПОСТАНОВЛЕНИЕ</w:t>
      </w:r>
    </w:p>
    <w:p w14:paraId="09000000">
      <w:pPr>
        <w:spacing w:before="24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28.12.2024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1856</w:t>
      </w:r>
    </w:p>
    <w:p w14:paraId="0A000000">
      <w:pPr>
        <w:spacing w:before="120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пгт. Крапивинский</w:t>
      </w:r>
    </w:p>
    <w:p w14:paraId="0B000000">
      <w:pPr>
        <w:spacing w:before="120"/>
        <w:ind w:firstLine="0" w:left="0"/>
        <w:jc w:val="center"/>
        <w:rPr>
          <w:rFonts w:ascii="Times New Roman" w:hAnsi="Times New Roman"/>
          <w:sz w:val="20"/>
        </w:rPr>
      </w:pPr>
    </w:p>
    <w:p w14:paraId="0C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Крапивинского муни</w:t>
      </w:r>
      <w:r>
        <w:rPr>
          <w:rFonts w:ascii="Times New Roman" w:hAnsi="Times New Roman"/>
          <w:b w:val="1"/>
          <w:sz w:val="28"/>
        </w:rPr>
        <w:t>ципального округа от 16.11.2020</w:t>
      </w:r>
      <w:r>
        <w:rPr>
          <w:rFonts w:ascii="Times New Roman" w:hAnsi="Times New Roman"/>
          <w:b w:val="1"/>
          <w:sz w:val="28"/>
        </w:rPr>
        <w:t xml:space="preserve"> № 1536 </w:t>
      </w:r>
    </w:p>
    <w:p w14:paraId="0D000000">
      <w:pPr>
        <w:spacing w:after="240" w:before="240"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В соответствии с Решением Совета народных депутатов Крапивинского муниципального округа </w:t>
      </w:r>
      <w:r>
        <w:rPr>
          <w:rFonts w:ascii="Times New Roman" w:hAnsi="Times New Roman"/>
          <w:sz w:val="28"/>
        </w:rPr>
        <w:t>второго</w:t>
      </w:r>
      <w:r>
        <w:rPr>
          <w:rFonts w:ascii="Times New Roman" w:hAnsi="Times New Roman"/>
          <w:sz w:val="28"/>
        </w:rPr>
        <w:t xml:space="preserve"> созыва от 27.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3 «О </w:t>
      </w:r>
      <w:r>
        <w:rPr>
          <w:rFonts w:ascii="Times New Roman" w:hAnsi="Times New Roman"/>
          <w:sz w:val="28"/>
        </w:rPr>
        <w:t>бюджете Крапивинского муниципального округа на 2025 год и на плановый период 2026 и 2027 годов»,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</w:t>
      </w:r>
      <w:r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Крапивинского муниципального округа</w:t>
      </w:r>
    </w:p>
    <w:p w14:paraId="0E000000">
      <w:pPr>
        <w:spacing w:after="240" w:before="240"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ПОСТАНОВЛЯЕТ:</w:t>
      </w:r>
    </w:p>
    <w:p w14:paraId="0F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Крапивинского муниципального округа от 16.11.2020 № 1536 «Об утверждении муниципальной программы «Развитие муниципального бюджетного учреждения «Автохозяйство Крапивинского муниципального округа на 2021-202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</w:t>
      </w:r>
      <w:r>
        <w:rPr>
          <w:rFonts w:ascii="Times New Roman" w:hAnsi="Times New Roman"/>
          <w:sz w:val="28"/>
        </w:rPr>
        <w:t>редакции постановлений от 16.11.2021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1555</w:t>
      </w:r>
      <w:r>
        <w:rPr>
          <w:rFonts w:ascii="Times New Roman" w:hAnsi="Times New Roman"/>
          <w:sz w:val="28"/>
        </w:rPr>
        <w:t>, 29.12.2021 № 1900, от 01.06.2022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847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 10.08.2022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1243</w:t>
      </w:r>
      <w:r>
        <w:rPr>
          <w:rFonts w:ascii="Times New Roman" w:hAnsi="Times New Roman"/>
          <w:sz w:val="28"/>
        </w:rPr>
        <w:t>, от 17.11.2022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1751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02.02.2023</w:t>
      </w:r>
      <w:r>
        <w:rPr>
          <w:rFonts w:ascii="Times New Roman" w:hAnsi="Times New Roman"/>
          <w:sz w:val="28"/>
        </w:rPr>
        <w:t xml:space="preserve"> № 137</w:t>
      </w:r>
      <w:r>
        <w:rPr>
          <w:rFonts w:ascii="Times New Roman" w:hAnsi="Times New Roman"/>
          <w:sz w:val="28"/>
        </w:rPr>
        <w:t>, от 28.04.2023</w:t>
      </w:r>
      <w:r>
        <w:rPr>
          <w:rFonts w:ascii="Times New Roman" w:hAnsi="Times New Roman"/>
          <w:sz w:val="28"/>
        </w:rPr>
        <w:t xml:space="preserve"> № 583</w:t>
      </w:r>
      <w:r>
        <w:rPr>
          <w:rFonts w:ascii="Times New Roman" w:hAnsi="Times New Roman"/>
          <w:sz w:val="28"/>
        </w:rPr>
        <w:t>, от 06.09.2023</w:t>
      </w:r>
      <w:r>
        <w:rPr>
          <w:rFonts w:ascii="Times New Roman" w:hAnsi="Times New Roman"/>
          <w:sz w:val="28"/>
        </w:rPr>
        <w:t xml:space="preserve"> № 126,</w:t>
      </w:r>
      <w:r>
        <w:rPr>
          <w:rFonts w:ascii="Times New Roman" w:hAnsi="Times New Roman"/>
          <w:sz w:val="28"/>
        </w:rPr>
        <w:t xml:space="preserve"> от 20.12.2023 № 1929, </w:t>
      </w:r>
      <w:r>
        <w:rPr>
          <w:rFonts w:ascii="Times New Roman" w:hAnsi="Times New Roman"/>
          <w:sz w:val="28"/>
        </w:rPr>
        <w:t>от 28.12.2023</w:t>
      </w:r>
      <w:r>
        <w:rPr>
          <w:rFonts w:ascii="Times New Roman" w:hAnsi="Times New Roman"/>
          <w:sz w:val="28"/>
        </w:rPr>
        <w:t xml:space="preserve"> № 2000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0000000">
      <w:pPr>
        <w:widowControl w:val="0"/>
        <w:tabs>
          <w:tab w:leader="none" w:pos="993" w:val="left"/>
        </w:tabs>
        <w:spacing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11000000">
      <w:pPr>
        <w:widowControl w:val="0"/>
        <w:tabs>
          <w:tab w:leader="none" w:pos="993" w:val="left"/>
        </w:tabs>
        <w:spacing w:line="276" w:lineRule="auto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1.1. В</w:t>
      </w:r>
      <w:r>
        <w:rPr>
          <w:rFonts w:ascii="Times New Roman" w:hAnsi="Times New Roman"/>
          <w:spacing w:val="-1"/>
          <w:sz w:val="28"/>
        </w:rPr>
        <w:t xml:space="preserve"> названии, в пункте 1 </w:t>
      </w:r>
      <w:r>
        <w:rPr>
          <w:rFonts w:ascii="Times New Roman" w:hAnsi="Times New Roman"/>
          <w:spacing w:val="-1"/>
          <w:sz w:val="28"/>
        </w:rPr>
        <w:t>постановлени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 в приложении к нему слова</w:t>
      </w:r>
      <w:r>
        <w:rPr>
          <w:rFonts w:ascii="Times New Roman" w:hAnsi="Times New Roman"/>
          <w:spacing w:val="-1"/>
          <w:sz w:val="28"/>
        </w:rPr>
        <w:t xml:space="preserve"> «2021-202</w:t>
      </w:r>
      <w:r>
        <w:rPr>
          <w:rFonts w:ascii="Times New Roman" w:hAnsi="Times New Roman"/>
          <w:spacing w:val="-1"/>
          <w:sz w:val="28"/>
        </w:rPr>
        <w:t>6</w:t>
      </w:r>
      <w:r>
        <w:rPr>
          <w:rFonts w:ascii="Times New Roman" w:hAnsi="Times New Roman"/>
          <w:spacing w:val="-1"/>
          <w:sz w:val="28"/>
        </w:rPr>
        <w:t xml:space="preserve"> годы» </w:t>
      </w:r>
      <w:r>
        <w:rPr>
          <w:rFonts w:ascii="Times New Roman" w:hAnsi="Times New Roman"/>
          <w:spacing w:val="-1"/>
          <w:sz w:val="28"/>
        </w:rPr>
        <w:t>заменить словами</w:t>
      </w:r>
      <w:r>
        <w:rPr>
          <w:rFonts w:ascii="Times New Roman" w:hAnsi="Times New Roman"/>
          <w:spacing w:val="-1"/>
          <w:sz w:val="28"/>
        </w:rPr>
        <w:t xml:space="preserve"> «2021-202</w:t>
      </w:r>
      <w:r>
        <w:rPr>
          <w:rFonts w:ascii="Times New Roman" w:hAnsi="Times New Roman"/>
          <w:spacing w:val="-1"/>
          <w:sz w:val="28"/>
        </w:rPr>
        <w:t>7</w:t>
      </w:r>
      <w:r>
        <w:rPr>
          <w:rFonts w:ascii="Times New Roman" w:hAnsi="Times New Roman"/>
          <w:spacing w:val="-1"/>
          <w:sz w:val="28"/>
        </w:rPr>
        <w:t xml:space="preserve"> годы».</w:t>
      </w:r>
    </w:p>
    <w:p w14:paraId="12000000">
      <w:pPr>
        <w:widowControl w:val="0"/>
        <w:tabs>
          <w:tab w:leader="none" w:pos="993" w:val="left"/>
        </w:tabs>
        <w:spacing w:line="276" w:lineRule="auto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1.2. В приложении к постановлению </w:t>
      </w:r>
      <w:r>
        <w:rPr>
          <w:rFonts w:ascii="Times New Roman" w:hAnsi="Times New Roman"/>
          <w:spacing w:val="-1"/>
          <w:sz w:val="28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14:paraId="13000000">
      <w:pPr>
        <w:keepLines w:val="1"/>
        <w:widowControl w:val="0"/>
        <w:tabs>
          <w:tab w:leader="none" w:pos="739" w:val="left"/>
          <w:tab w:leader="none" w:pos="993" w:val="left"/>
        </w:tabs>
        <w:spacing w:line="276" w:lineRule="auto"/>
        <w:ind w:firstLine="0" w:left="0"/>
        <w:jc w:val="lef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«</w:t>
      </w:r>
    </w:p>
    <w:tbl>
      <w:tblPr>
        <w:tblStyle w:val="Style_2"/>
        <w:tblW w:type="auto" w:w="0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1"/>
        <w:gridCol w:w="6946"/>
      </w:tblGrid>
      <w:tr>
        <w:trPr>
          <w:trHeight w:hRule="atLeast" w:val="629"/>
        </w:trPr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на реализацию муниципальной программы – </w:t>
            </w:r>
            <w:r>
              <w:rPr>
                <w:rFonts w:ascii="Times New Roman" w:hAnsi="Times New Roman"/>
                <w:sz w:val="28"/>
              </w:rPr>
              <w:t>233234,1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руб., в том числе по годам:</w:t>
            </w:r>
          </w:p>
          <w:p w14:paraId="16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31101,0 тыс. руб.</w:t>
            </w:r>
          </w:p>
          <w:p w14:paraId="17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33050,0 тыс. руб.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8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35412,6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  <w:p w14:paraId="19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41832,7</w:t>
            </w:r>
            <w:r>
              <w:rPr>
                <w:rFonts w:ascii="Times New Roman" w:hAnsi="Times New Roman"/>
                <w:sz w:val="28"/>
              </w:rPr>
              <w:t xml:space="preserve"> тыс. руб. </w:t>
            </w:r>
          </w:p>
          <w:p w14:paraId="1A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30412,6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1B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212,6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1C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30212,6 тыс. руб.</w:t>
            </w:r>
          </w:p>
          <w:p w14:paraId="1D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1E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8"/>
              </w:rPr>
              <w:t>184</w:t>
            </w:r>
            <w:r>
              <w:rPr>
                <w:rFonts w:ascii="Times New Roman" w:hAnsi="Times New Roman"/>
                <w:sz w:val="28"/>
              </w:rPr>
              <w:t>514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тыс. руб., в том числе по годам:</w:t>
            </w:r>
          </w:p>
          <w:p w14:paraId="1F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25433,0 тыс. руб.</w:t>
            </w:r>
          </w:p>
          <w:p w14:paraId="20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26745,5 тыс. руб.</w:t>
            </w:r>
          </w:p>
          <w:p w14:paraId="21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28557,8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  <w:p w14:paraId="22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34928,5</w:t>
            </w:r>
            <w:r>
              <w:rPr>
                <w:rFonts w:ascii="Times New Roman" w:hAnsi="Times New Roman"/>
                <w:sz w:val="28"/>
              </w:rPr>
              <w:t xml:space="preserve"> тыс. руб. </w:t>
            </w:r>
          </w:p>
          <w:p w14:paraId="23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22750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24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23550,0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25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22550,0 тыс. руб.</w:t>
            </w:r>
          </w:p>
          <w:p w14:paraId="26000000">
            <w:pPr>
              <w:pStyle w:val="Style_3"/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источники, из них:</w:t>
            </w:r>
          </w:p>
          <w:p w14:paraId="27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</w:t>
            </w:r>
            <w:r>
              <w:rPr>
                <w:rFonts w:ascii="Times New Roman" w:hAnsi="Times New Roman"/>
                <w:sz w:val="28"/>
              </w:rPr>
              <w:t>юридических и физических лиц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>48719</w:t>
            </w:r>
            <w:r>
              <w:rPr>
                <w:rFonts w:ascii="Times New Roman" w:hAnsi="Times New Roman"/>
                <w:sz w:val="28"/>
              </w:rPr>
              <w:t xml:space="preserve">,3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руб., в том числе по годам:</w:t>
            </w:r>
          </w:p>
          <w:p w14:paraId="28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5668,0 тыс. руб.</w:t>
            </w:r>
          </w:p>
          <w:p w14:paraId="29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6304,5 тыс. руб.</w:t>
            </w:r>
          </w:p>
          <w:p w14:paraId="2A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6854,8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2B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6904,2</w:t>
            </w:r>
            <w:r>
              <w:rPr>
                <w:rFonts w:ascii="Times New Roman" w:hAnsi="Times New Roman"/>
                <w:sz w:val="28"/>
              </w:rPr>
              <w:t xml:space="preserve"> тыс. руб. </w:t>
            </w:r>
          </w:p>
          <w:p w14:paraId="2C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7662,6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2D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7662,6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2E00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7662,6 тыс. руб.</w:t>
            </w:r>
          </w:p>
        </w:tc>
      </w:tr>
    </w:tbl>
    <w:p w14:paraId="2F000000">
      <w:pPr>
        <w:keepLines w:val="1"/>
        <w:widowControl w:val="0"/>
        <w:tabs>
          <w:tab w:leader="none" w:pos="739" w:val="left"/>
          <w:tab w:leader="none" w:pos="993" w:val="left"/>
        </w:tabs>
        <w:spacing w:line="276" w:lineRule="auto"/>
        <w:ind w:firstLine="0" w:left="1440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».</w:t>
      </w:r>
    </w:p>
    <w:p w14:paraId="30000000">
      <w:pPr>
        <w:keepLines w:val="1"/>
        <w:widowControl w:val="0"/>
        <w:tabs>
          <w:tab w:leader="none" w:pos="739" w:val="left"/>
          <w:tab w:leader="none" w:pos="993" w:val="left"/>
        </w:tabs>
        <w:spacing w:line="276" w:lineRule="auto"/>
        <w:ind w:hanging="142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1.3. Раздел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pacing w:val="-1"/>
          <w:sz w:val="28"/>
        </w:rPr>
        <w:t xml:space="preserve"> 4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5</w:t>
      </w:r>
      <w:r>
        <w:rPr>
          <w:rFonts w:ascii="Times New Roman" w:hAnsi="Times New Roman"/>
          <w:spacing w:val="-1"/>
          <w:sz w:val="28"/>
        </w:rPr>
        <w:t xml:space="preserve"> приложения к постановлению изложить в новой редакции, согласно приложению к настоящему постановлению.</w:t>
      </w:r>
    </w:p>
    <w:p w14:paraId="31000000">
      <w:pPr>
        <w:spacing w:line="276" w:lineRule="auto"/>
        <w:ind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2. 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32000000">
      <w:pPr>
        <w:keepLines w:val="1"/>
        <w:widowControl w:val="0"/>
        <w:tabs>
          <w:tab w:leader="none" w:pos="993" w:val="left"/>
          <w:tab w:leader="none" w:pos="1440" w:val="left"/>
        </w:tabs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постановление вступает в силу с момента обнародования,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положений, для которых настоящим пунктом установлены иные сроки вступления в силу.</w:t>
      </w:r>
    </w:p>
    <w:p w14:paraId="33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редакции настоящего постановления) применяются к правоотношениям, возникающим при составлении и исполнении бюджета округа, начиная с бюджета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годов.</w:t>
      </w:r>
    </w:p>
    <w:p w14:paraId="34000000">
      <w:pPr>
        <w:tabs>
          <w:tab w:leader="none" w:pos="1418" w:val="left"/>
        </w:tabs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главы Крапивинского муниципального округа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по внутренней политике и безопасности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Слонова</w:t>
      </w:r>
      <w:r>
        <w:rPr>
          <w:rFonts w:ascii="Times New Roman" w:hAnsi="Times New Roman"/>
          <w:sz w:val="28"/>
        </w:rPr>
        <w:t xml:space="preserve"> Е.А.</w:t>
      </w:r>
    </w:p>
    <w:p w14:paraId="35000000">
      <w:pPr>
        <w:tabs>
          <w:tab w:leader="none" w:pos="540" w:val="left"/>
          <w:tab w:leader="none" w:pos="1260" w:val="left"/>
        </w:tabs>
        <w:spacing w:line="276" w:lineRule="auto"/>
        <w:ind/>
        <w:rPr>
          <w:rFonts w:ascii="Times New Roman" w:hAnsi="Times New Roman"/>
          <w:sz w:val="28"/>
        </w:rPr>
      </w:pPr>
    </w:p>
    <w:p w14:paraId="36000000">
      <w:pPr>
        <w:tabs>
          <w:tab w:leader="none" w:pos="540" w:val="left"/>
          <w:tab w:leader="none" w:pos="1260" w:val="left"/>
        </w:tabs>
        <w:spacing w:line="276" w:lineRule="auto"/>
        <w:ind/>
        <w:rPr>
          <w:rFonts w:ascii="Times New Roman" w:hAnsi="Times New Roman"/>
          <w:sz w:val="28"/>
        </w:rPr>
      </w:pPr>
    </w:p>
    <w:p w14:paraId="37000000">
      <w:pPr>
        <w:tabs>
          <w:tab w:leader="none" w:pos="540" w:val="left"/>
          <w:tab w:leader="none" w:pos="1260" w:val="left"/>
        </w:tabs>
        <w:spacing w:line="276" w:lineRule="auto"/>
        <w:ind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14:paraId="39000000">
      <w:pPr>
        <w:tabs>
          <w:tab w:leader="none" w:pos="1134" w:val="left"/>
        </w:tabs>
        <w:spacing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Т.И. Климина</w:t>
      </w:r>
    </w:p>
    <w:p w14:paraId="3A000000">
      <w:pPr>
        <w:tabs>
          <w:tab w:leader="none" w:pos="1134" w:val="left"/>
        </w:tabs>
        <w:ind w:firstLine="0" w:left="0"/>
        <w:rPr>
          <w:rFonts w:ascii="Times New Roman" w:hAnsi="Times New Roman"/>
          <w:sz w:val="26"/>
        </w:rPr>
      </w:pPr>
    </w:p>
    <w:p w14:paraId="3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3C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3D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3E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3F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40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41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42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43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4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5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6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7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8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9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A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B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C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D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E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F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50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</w:t>
      </w:r>
      <w:r>
        <w:rPr>
          <w:rFonts w:ascii="Times New Roman" w:hAnsi="Times New Roman"/>
          <w:sz w:val="20"/>
        </w:rPr>
        <w:t>Андрей Владимирович Ананенко</w:t>
      </w:r>
    </w:p>
    <w:p w14:paraId="51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8(38446)</w:t>
      </w:r>
      <w:r>
        <w:rPr>
          <w:rFonts w:ascii="Times New Roman" w:hAnsi="Times New Roman"/>
          <w:sz w:val="20"/>
        </w:rPr>
        <w:t>22708</w:t>
      </w:r>
    </w:p>
    <w:p w14:paraId="52000000">
      <w:pPr>
        <w:ind w:firstLine="0" w:left="-629"/>
        <w:jc w:val="center"/>
        <w:rPr>
          <w:rFonts w:ascii="Times New Roman" w:hAnsi="Times New Roman"/>
        </w:rPr>
      </w:pPr>
    </w:p>
    <w:p w14:paraId="53000000">
      <w:pPr>
        <w:ind w:firstLine="0" w:left="433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</w:p>
    <w:p w14:paraId="54000000">
      <w:pPr>
        <w:ind w:firstLine="0" w:left="50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Крапивинского муниципального </w:t>
      </w:r>
      <w:r>
        <w:rPr>
          <w:rFonts w:ascii="Times New Roman" w:hAnsi="Times New Roman"/>
        </w:rPr>
        <w:t>округа</w:t>
      </w:r>
    </w:p>
    <w:p w14:paraId="55000000">
      <w:pPr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>от 28.12.2024</w:t>
      </w:r>
      <w:r>
        <w:rPr>
          <w:rFonts w:ascii="Times New Roman" w:hAnsi="Times New Roman"/>
        </w:rPr>
        <w:t xml:space="preserve"> № 1856</w:t>
      </w:r>
    </w:p>
    <w:p w14:paraId="56000000">
      <w:pPr>
        <w:ind w:firstLine="0" w:left="5040"/>
        <w:jc w:val="left"/>
        <w:rPr>
          <w:rFonts w:ascii="Times New Roman" w:hAnsi="Times New Roman"/>
        </w:rPr>
      </w:pPr>
    </w:p>
    <w:p w14:paraId="57000000">
      <w:pPr>
        <w:pStyle w:val="Style_4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58000000">
      <w:pPr>
        <w:pStyle w:val="Style_4"/>
        <w:ind w:firstLine="0" w:left="0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jc w:val="righ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1984"/>
        <w:gridCol w:w="1871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hRule="atLeast" w:val="480"/>
        </w:trP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5A00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муниципальной программы,</w:t>
            </w:r>
          </w:p>
          <w:p w14:paraId="5B00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подпрограммы, мероприятия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Источник финансирования</w:t>
            </w:r>
          </w:p>
        </w:tc>
        <w:tc>
          <w:tcPr>
            <w:tcW w:type="dxa" w:w="674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b w:val="0"/>
                <w:sz w:val="22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</w:tbl>
    <w:p w14:paraId="65000000">
      <w:pPr>
        <w:pStyle w:val="Style_3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Style_2"/>
        <w:tblW w:type="auto" w:w="0"/>
        <w:jc w:val="righ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1984"/>
        <w:gridCol w:w="1871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blHeader/>
        </w:trP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225"/>
        </w:trP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Муниципальная программа Крапивинского муниципального округа 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– 202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 годы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31101,0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35412,6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41832,7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30412,6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31212,6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30212,6</w:t>
            </w:r>
          </w:p>
        </w:tc>
      </w:tr>
      <w:tr>
        <w:trPr>
          <w:trHeight w:hRule="atLeast" w:val="225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25433,0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26745,5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28557,8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34928,5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23550,0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22550,0</w:t>
            </w:r>
          </w:p>
        </w:tc>
      </w:tr>
      <w:tr>
        <w:trPr>
          <w:trHeight w:hRule="atLeast" w:val="1304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5668,0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6304,5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6854,8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6904,2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</w:tr>
      <w:tr>
        <w:trPr>
          <w:trHeight w:hRule="atLeast" w:val="300"/>
        </w:trP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6"/>
              <w:widowControl w:val="1"/>
              <w:tabs>
                <w:tab w:leader="none" w:pos="12474" w:val="left"/>
              </w:tabs>
              <w:ind w:firstLine="0" w:left="2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 1: Основное мероприятие: Обеспечение деятельности муниципального бюджетного учреждения «Автохозяйство Крапивинского муниципального округа» 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15523,0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15617,9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15623,3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17760,0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10575,6</w:t>
            </w:r>
          </w:p>
        </w:tc>
      </w:tr>
      <w:tr>
        <w:trPr>
          <w:trHeight w:hRule="atLeast" w:val="750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14513,0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14618,6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14987,5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17082,3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10000,0</w:t>
            </w:r>
          </w:p>
        </w:tc>
      </w:tr>
      <w:tr>
        <w:trPr>
          <w:trHeight w:hRule="atLeast" w:val="840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993,3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635,8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677,7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</w:tr>
      <w:tr>
        <w:trPr>
          <w:trHeight w:hRule="atLeast" w:val="367"/>
        </w:trP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2: Приобретение и установка автоматизированной информационной спутниковой системы ГЛОНАСС в «Школьный автобус»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660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555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82"/>
        </w:trP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3:</w:t>
            </w:r>
          </w:p>
          <w:p w14:paraId="BB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деятельности бюджетных, автономных учреждений на оплату труда 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15578,0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17438,1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19756,3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23856,7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19587,0</w:t>
            </w:r>
          </w:p>
        </w:tc>
      </w:tr>
      <w:tr>
        <w:trPr>
          <w:trHeight w:hRule="atLeast" w:val="540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10920,0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12126,9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13537,3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17630,2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12500,0</w:t>
            </w:r>
          </w:p>
        </w:tc>
      </w:tr>
      <w:tr>
        <w:trPr>
          <w:trHeight w:hRule="atLeast" w:val="405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4658,0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5311,2</w:t>
            </w:r>
          </w:p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6219,0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6226,5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</w:tr>
    </w:tbl>
    <w:p w14:paraId="D5000000">
      <w:pPr>
        <w:ind/>
        <w:jc w:val="right"/>
        <w:rPr>
          <w:rFonts w:ascii="Times New Roman" w:hAnsi="Times New Roman"/>
        </w:rPr>
      </w:pPr>
    </w:p>
    <w:p w14:paraId="D6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D7000000">
      <w:pPr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D8000000">
      <w:pPr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righ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268"/>
        <w:gridCol w:w="1701"/>
        <w:gridCol w:w="851"/>
        <w:gridCol w:w="794"/>
        <w:gridCol w:w="794"/>
        <w:gridCol w:w="794"/>
        <w:gridCol w:w="794"/>
        <w:gridCol w:w="794"/>
        <w:gridCol w:w="794"/>
        <w:gridCol w:w="794"/>
      </w:tblGrid>
      <w:tr>
        <w:trPr>
          <w:trHeight w:hRule="atLeast" w:val="480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  <w:p w14:paraId="D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муниципальной программы,</w:t>
            </w:r>
          </w:p>
          <w:p w14:paraId="D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подпрограммы,</w:t>
            </w:r>
          </w:p>
          <w:p w14:paraId="D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целевого</w:t>
            </w:r>
          </w:p>
          <w:p w14:paraId="DE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 (индикатора)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14:paraId="E0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type="dxa" w:w="55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45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</w:tbl>
    <w:p w14:paraId="E9000000">
      <w:pPr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Style_2"/>
        <w:tblW w:type="auto" w:w="0"/>
        <w:jc w:val="righ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268"/>
        <w:gridCol w:w="1701"/>
        <w:gridCol w:w="851"/>
        <w:gridCol w:w="794"/>
        <w:gridCol w:w="794"/>
        <w:gridCol w:w="794"/>
        <w:gridCol w:w="794"/>
        <w:gridCol w:w="794"/>
        <w:gridCol w:w="794"/>
        <w:gridCol w:w="794"/>
      </w:tblGrid>
      <w:tr>
        <w:trPr>
          <w:tblHeader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ind w:hanging="66" w:left="6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blHeader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Крапивинского муниципального округа «Развитие муниципального бюджетного учреждения «Автохозяйство Крапивинского муниципального округа» на 2021 – 2027 годы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80"/>
          <w:tblHeader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ind w:firstLine="0" w:left="0" w:right="-15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Основное мероприятие: Обеспечение деятельности </w:t>
            </w:r>
          </w:p>
          <w:p w14:paraId="FF000000">
            <w:pPr>
              <w:ind w:firstLine="0" w:left="0" w:right="-15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муниципального бюджетного учреждения «Автохозяйство Крапивинского муниципального округа» на 2021 – 2027 годы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Выполнение муниципально-го задания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1640"/>
          <w:tblHeader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транспортных средств, прошедших государственный техосмотр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320"/>
          <w:tblHeader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2010000">
      <w:pPr>
        <w:ind w:firstLine="0" w:left="0"/>
        <w:jc w:val="center"/>
        <w:rPr>
          <w:rFonts w:ascii="Times New Roman" w:hAnsi="Times New Roman"/>
        </w:rPr>
      </w:pPr>
    </w:p>
    <w:p w14:paraId="13010000">
      <w:pPr>
        <w:ind w:firstLine="0" w:left="0"/>
        <w:jc w:val="center"/>
        <w:rPr>
          <w:rFonts w:ascii="Times New Roman" w:hAnsi="Times New Roman"/>
        </w:rPr>
      </w:pPr>
    </w:p>
    <w:p w14:paraId="14010000">
      <w:pPr>
        <w:ind w:firstLine="0" w:left="0"/>
        <w:jc w:val="center"/>
        <w:rPr>
          <w:rFonts w:ascii="Times New Roman" w:hAnsi="Times New Roman"/>
        </w:rPr>
      </w:pPr>
    </w:p>
    <w:p w14:paraId="15010000">
      <w:pPr>
        <w:ind w:firstLine="0" w:left="0"/>
        <w:jc w:val="center"/>
        <w:rPr>
          <w:rFonts w:ascii="Times New Roman" w:hAnsi="Times New Roman"/>
        </w:rPr>
      </w:pPr>
    </w:p>
    <w:p w14:paraId="16010000"/>
    <w:p w14:paraId="17010000">
      <w:pPr>
        <w:ind w:firstLine="0" w:left="0"/>
        <w:jc w:val="center"/>
        <w:rPr>
          <w:rFonts w:ascii="Times New Roman" w:hAnsi="Times New Roman"/>
          <w:sz w:val="36"/>
        </w:rPr>
      </w:pPr>
    </w:p>
    <w:p w14:paraId="18010000">
      <w:pPr>
        <w:ind w:firstLine="0" w:left="0"/>
        <w:jc w:val="center"/>
        <w:rPr>
          <w:rFonts w:ascii="Times New Roman" w:hAnsi="Times New Roman"/>
          <w:sz w:val="36"/>
        </w:rPr>
      </w:pPr>
    </w:p>
    <w:p w14:paraId="19010000">
      <w:pPr>
        <w:ind w:firstLine="0" w:left="0"/>
        <w:jc w:val="center"/>
        <w:rPr>
          <w:rFonts w:ascii="Times New Roman" w:hAnsi="Times New Roman"/>
          <w:sz w:val="36"/>
        </w:rPr>
      </w:pPr>
    </w:p>
    <w:p w14:paraId="1A010000">
      <w:pPr>
        <w:ind w:firstLine="0" w:left="0"/>
        <w:jc w:val="center"/>
        <w:rPr>
          <w:rFonts w:ascii="Times New Roman" w:hAnsi="Times New Roman"/>
          <w:sz w:val="36"/>
        </w:rPr>
      </w:pPr>
    </w:p>
    <w:p w14:paraId="1B010000">
      <w:pPr>
        <w:ind w:firstLine="0" w:left="0"/>
        <w:jc w:val="center"/>
        <w:rPr>
          <w:rFonts w:ascii="Times New Roman" w:hAnsi="Times New Roman"/>
          <w:sz w:val="36"/>
        </w:rPr>
      </w:pPr>
    </w:p>
    <w:p w14:paraId="1C010000">
      <w:pPr>
        <w:ind w:firstLine="0" w:left="0"/>
        <w:jc w:val="center"/>
        <w:rPr>
          <w:rFonts w:ascii="Times New Roman" w:hAnsi="Times New Roman"/>
          <w:sz w:val="36"/>
        </w:rPr>
      </w:pPr>
    </w:p>
    <w:p w14:paraId="1D010000">
      <w:pPr>
        <w:ind w:firstLine="0" w:left="0"/>
        <w:jc w:val="center"/>
        <w:rPr>
          <w:rFonts w:ascii="Times New Roman" w:hAnsi="Times New Roman"/>
          <w:sz w:val="36"/>
        </w:rPr>
      </w:pPr>
    </w:p>
    <w:sectPr>
      <w:type w:val="continuous"/>
      <w:pgSz w:h="16838" w:orient="portrait" w:w="11905"/>
      <w:pgMar w:bottom="426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7_ch" w:type="character">
    <w:name w:val="Normal"/>
    <w:link w:val="Style_7"/>
    <w:rPr>
      <w:rFonts w:ascii="Arial" w:hAnsi="Arial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link w:val="Style_14_ch"/>
    <w:uiPriority w:val="9"/>
    <w:qFormat/>
    <w:pPr>
      <w:ind/>
      <w:outlineLvl w:val="2"/>
    </w:pPr>
    <w:rPr>
      <w:b w:val="1"/>
      <w:sz w:val="28"/>
    </w:rPr>
  </w:style>
  <w:style w:styleId="Style_14_ch" w:type="character">
    <w:name w:val="heading 3"/>
    <w:basedOn w:val="Style_7_ch"/>
    <w:link w:val="Style_14"/>
    <w:rPr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alloon Text"/>
    <w:basedOn w:val="Style_7"/>
    <w:link w:val="Style_16_ch"/>
    <w:rPr>
      <w:sz w:val="16"/>
    </w:rPr>
  </w:style>
  <w:style w:styleId="Style_16_ch" w:type="character">
    <w:name w:val="Balloon Text"/>
    <w:basedOn w:val="Style_7_ch"/>
    <w:link w:val="Style_16"/>
    <w:rPr>
      <w:sz w:val="16"/>
    </w:rPr>
  </w:style>
  <w:style w:styleId="Style_17" w:type="paragraph">
    <w:name w:val="HTML Variable"/>
    <w:link w:val="Style_17_ch"/>
    <w:rPr>
      <w:rFonts w:ascii="Arial" w:hAnsi="Arial"/>
      <w:color w:val="0000FF"/>
      <w:sz w:val="24"/>
      <w:u w:val="none"/>
    </w:rPr>
  </w:style>
  <w:style w:styleId="Style_17_ch" w:type="character">
    <w:name w:val="HTML Variable"/>
    <w:link w:val="Style_17"/>
    <w:rPr>
      <w:rFonts w:ascii="Arial" w:hAnsi="Arial"/>
      <w:color w:val="0000FF"/>
      <w:sz w:val="24"/>
      <w:u w:val="none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Title!Название НПА"/>
    <w:basedOn w:val="Style_7"/>
    <w:link w:val="Style_19_ch"/>
    <w:pPr>
      <w:spacing w:after="60" w:before="240"/>
      <w:ind/>
      <w:jc w:val="center"/>
      <w:outlineLvl w:val="0"/>
    </w:pPr>
    <w:rPr>
      <w:b w:val="1"/>
      <w:sz w:val="32"/>
    </w:rPr>
  </w:style>
  <w:style w:styleId="Style_19_ch" w:type="character">
    <w:name w:val="Title!Название НПА"/>
    <w:basedOn w:val="Style_7_ch"/>
    <w:link w:val="Style_19"/>
    <w:rPr>
      <w:b w:val="1"/>
      <w:sz w:val="32"/>
    </w:rPr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7"/>
    <w:next w:val="Style_7"/>
    <w:link w:val="Style_21_ch"/>
    <w:uiPriority w:val="9"/>
    <w:qFormat/>
    <w:pPr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7_ch"/>
    <w:link w:val="Style_21"/>
    <w:rPr>
      <w:b w:val="1"/>
      <w:sz w:val="32"/>
    </w:rPr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Application!Приложение"/>
    <w:link w:val="Style_27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7_ch" w:type="character">
    <w:name w:val="Application!Приложение"/>
    <w:link w:val="Style_27"/>
    <w:rPr>
      <w:rFonts w:ascii="Arial" w:hAnsi="Arial"/>
      <w:b w:val="1"/>
      <w:sz w:val="32"/>
    </w:rPr>
  </w:style>
  <w:style w:styleId="Style_1" w:type="paragraph">
    <w:name w:val="No Spacing"/>
    <w:link w:val="Style_1_ch"/>
    <w:pPr>
      <w:ind w:firstLine="567" w:left="0"/>
      <w:jc w:val="both"/>
    </w:pPr>
    <w:rPr>
      <w:rFonts w:ascii="Arial" w:hAnsi="Arial"/>
      <w:sz w:val="24"/>
    </w:rPr>
  </w:style>
  <w:style w:styleId="Style_1_ch" w:type="character">
    <w:name w:val="No Spacing"/>
    <w:link w:val="Style_1"/>
    <w:rPr>
      <w:rFonts w:ascii="Arial" w:hAnsi="Arial"/>
      <w:sz w:val="24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3" w:type="paragraph">
    <w:name w:val="Table!Таблица"/>
    <w:link w:val="Style_3_ch"/>
    <w:rPr>
      <w:rFonts w:ascii="Arial" w:hAnsi="Arial"/>
      <w:sz w:val="24"/>
    </w:rPr>
  </w:style>
  <w:style w:styleId="Style_3_ch" w:type="character">
    <w:name w:val="Table!Таблица"/>
    <w:link w:val="Style_3"/>
    <w:rPr>
      <w:rFonts w:ascii="Arial" w:hAnsi="Arial"/>
      <w:sz w:val="24"/>
    </w:rPr>
  </w:style>
  <w:style w:styleId="Style_6" w:type="paragraph">
    <w:name w:val="ConsPlusCell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Cell"/>
    <w:link w:val="Style_6"/>
    <w:rPr>
      <w:rFonts w:ascii="Arial" w:hAnsi="Arial"/>
    </w:rPr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annotation text"/>
    <w:basedOn w:val="Style_7"/>
    <w:link w:val="Style_30_ch"/>
    <w:rPr>
      <w:rFonts w:ascii="Courier" w:hAnsi="Courier"/>
      <w:sz w:val="22"/>
    </w:rPr>
  </w:style>
  <w:style w:styleId="Style_30_ch" w:type="character">
    <w:name w:val="annotation text"/>
    <w:basedOn w:val="Style_7_ch"/>
    <w:link w:val="Style_30"/>
    <w:rPr>
      <w:rFonts w:ascii="Courier" w:hAnsi="Courier"/>
      <w:sz w:val="22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ody Text"/>
    <w:basedOn w:val="Style_7"/>
    <w:link w:val="Style_32_ch"/>
  </w:style>
  <w:style w:styleId="Style_32_ch" w:type="character">
    <w:name w:val="Body Text"/>
    <w:basedOn w:val="Style_7_ch"/>
    <w:link w:val="Style_32"/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7"/>
    <w:link w:val="Style_34_ch"/>
    <w:uiPriority w:val="10"/>
    <w:qFormat/>
    <w:pPr>
      <w:ind/>
      <w:jc w:val="center"/>
    </w:pPr>
  </w:style>
  <w:style w:styleId="Style_34_ch" w:type="character">
    <w:name w:val="Title"/>
    <w:basedOn w:val="Style_7_ch"/>
    <w:link w:val="Style_34"/>
  </w:style>
  <w:style w:styleId="Style_35" w:type="paragraph">
    <w:name w:val="heading 4"/>
    <w:basedOn w:val="Style_7"/>
    <w:link w:val="Style_35_ch"/>
    <w:uiPriority w:val="9"/>
    <w:qFormat/>
    <w:pPr>
      <w:ind/>
      <w:outlineLvl w:val="3"/>
    </w:pPr>
    <w:rPr>
      <w:b w:val="1"/>
      <w:sz w:val="26"/>
    </w:rPr>
  </w:style>
  <w:style w:styleId="Style_35_ch" w:type="character">
    <w:name w:val="heading 4"/>
    <w:basedOn w:val="Style_7_ch"/>
    <w:link w:val="Style_35"/>
    <w:rPr>
      <w:b w:val="1"/>
      <w:sz w:val="26"/>
    </w:rPr>
  </w:style>
  <w:style w:styleId="Style_36" w:type="paragraph">
    <w:name w:val="heading 2"/>
    <w:basedOn w:val="Style_7"/>
    <w:link w:val="Style_36_ch"/>
    <w:uiPriority w:val="9"/>
    <w:qFormat/>
    <w:pPr>
      <w:ind/>
      <w:jc w:val="center"/>
      <w:outlineLvl w:val="1"/>
    </w:pPr>
    <w:rPr>
      <w:b w:val="1"/>
      <w:sz w:val="30"/>
    </w:rPr>
  </w:style>
  <w:style w:styleId="Style_36_ch" w:type="character">
    <w:name w:val="heading 2"/>
    <w:basedOn w:val="Style_7_ch"/>
    <w:link w:val="Style_36"/>
    <w:rPr>
      <w:b w:val="1"/>
      <w:sz w:val="30"/>
    </w:rPr>
  </w:style>
  <w:style w:styleId="Style_5" w:type="paragraph">
    <w:name w:val="Table!"/>
    <w:next w:val="Style_3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37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sz="4" w:val="nil"/>
        <w:bottom w:color="000000" w:sz="12" w:val="single"/>
        <w:right w:color="000000" w:sz="4" w:val="nil"/>
        <w:insideH w:color="000000" w:sz="6" w:val="single"/>
        <w:insideV w:color="000000" w:sz="4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2024-12-28T06:39:02Z</dcterms:modified>
</cp:coreProperties>
</file>