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06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A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________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bookmarkStart w:id="1" w:name="_Hlt119076883"/>
      <w:bookmarkEnd w:id="1"/>
      <w:bookmarkStart w:id="2" w:name="_Hlt119076884"/>
      <w:bookmarkEnd w:id="2"/>
      <w:bookmarkStart w:id="3" w:name="_Hlt119076888"/>
      <w:bookmarkEnd w:id="3"/>
      <w:r>
        <w:rPr>
          <w:rFonts w:ascii="Times New Roman" w:hAnsi="Times New Roman"/>
          <w:b w:val="1"/>
          <w:sz w:val="28"/>
        </w:rPr>
        <w:t>4. Ресурсное обеспечение реализации муниципальной программы "Культура Крапивинского муниципального округа" 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- 202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D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Ind w:type="dxa" w:w="-176"/>
        <w:tblLayout w:type="fixed"/>
      </w:tblPr>
      <w:tblGrid>
        <w:gridCol w:w="4251"/>
        <w:gridCol w:w="4251"/>
        <w:gridCol w:w="1409"/>
        <w:gridCol w:w="1406"/>
        <w:gridCol w:w="1409"/>
        <w:gridCol w:w="1409"/>
        <w:gridCol w:w="1422"/>
        <w:gridCol w:w="13"/>
      </w:tblGrid>
      <w:tr>
        <w:trPr>
          <w:trHeight w:hRule="atLeast" w:val="39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0F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1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мероприятия</w:t>
            </w:r>
          </w:p>
        </w:tc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type="dxa" w:w="706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</w:tr>
      <w:tr>
        <w:trPr>
          <w:trHeight w:hRule="atLeast" w:val="90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7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«Культура Крапивинского 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округа» </w:t>
            </w:r>
          </w:p>
          <w:p w14:paraId="1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2023-2027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206 397,1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224471,3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165268,4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162923,9</w:t>
            </w:r>
          </w:p>
        </w:tc>
        <w:tc>
          <w:tcPr>
            <w:tcW w:type="dxa" w:w="14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162037,9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188 401,8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217237,9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157541,8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155086,8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154086,8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0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28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4189,8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3 227,9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2943,6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3688,5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3799,0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3913,0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0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культуры"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132 910,9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139936,3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102261,4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101429,9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100502,9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118 143,5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133629,6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95931,8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95031,8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94031,8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9 806,6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4 960,8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4189,8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1 963,7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2016,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2291,5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2433,0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6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1.1 Обеспечение деятельности учреждений культуры и мероприя</w:t>
            </w:r>
            <w:r>
              <w:rPr>
                <w:rFonts w:ascii="Times New Roman" w:hAnsi="Times New Roman"/>
                <w:sz w:val="28"/>
              </w:rPr>
              <w:t>тий в сфере культуры и кинемато</w:t>
            </w:r>
            <w:r>
              <w:rPr>
                <w:rFonts w:ascii="Times New Roman" w:hAnsi="Times New Roman"/>
                <w:sz w:val="28"/>
              </w:rPr>
              <w:t>графии (МБУК "КСКО")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20 272,0</w:t>
            </w: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19547,9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11725,5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12779,5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77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18 753,4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18049,3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1 518,6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1498,6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1725,5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1779,5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1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 Обеспечение деятельности бюджетных и автономных учреждений на оплату труда (МБУК «КСКО»)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57 884,4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69076,7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1688,1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50435,9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50435,9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57 836,7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69024,2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51633,6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50381,4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50381,4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928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4,5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81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 Обеспечение деятельности библиотек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</w:t>
            </w:r>
            <w:r>
              <w:rPr>
                <w:rFonts w:ascii="Times New Roman" w:hAnsi="Times New Roman"/>
                <w:sz w:val="28"/>
              </w:rPr>
              <w:t>409,8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3457,9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2541,2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3 210,2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</w:t>
            </w: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 Обеспечение деятельности бюджетных учреждений на оплату труда (МБУК «КБС»)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366,3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22958,7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16932,3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16567,7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16567,7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08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21 360,6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22952,4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16926,0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16561,4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16561,4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50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  <w:r>
              <w:rPr>
                <w:rFonts w:ascii="Times New Roman" w:hAnsi="Times New Roman"/>
                <w:sz w:val="28"/>
              </w:rPr>
              <w:t xml:space="preserve"> Обеспечение деятельности музеев</w:t>
            </w:r>
            <w:r>
              <w:rPr>
                <w:rFonts w:ascii="Times New Roman" w:hAnsi="Times New Roman"/>
                <w:sz w:val="28"/>
              </w:rPr>
              <w:t xml:space="preserve"> и постоянных выставок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685,4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87,1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86,6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 Обеспечение деятельности бюджетных учреждений на оплату труда (МБУ культуры "ККМ")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3 023,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2867,9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2802,8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2802,8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3 022,1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3801,2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2864,4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2799,3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2799,3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6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9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13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3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93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 w:firstLine="0" w:left="0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4 104,1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4120,3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4016,1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6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2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</w:t>
            </w:r>
            <w:r>
              <w:rPr>
                <w:rFonts w:ascii="Times New Roman" w:hAnsi="Times New Roman"/>
                <w:sz w:val="28"/>
              </w:rPr>
              <w:t>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2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3981,0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3895,6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3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 Обеспечение деятельности (оказания услуг) подведомственных  учреждений в сфере культуры и кинематографии (МБУК «МКДЦ «ЛИДЕР»)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423,8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334,1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1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314,4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4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1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0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  <w:r>
              <w:rPr>
                <w:rFonts w:ascii="Times New Roman" w:hAnsi="Times New Roman"/>
                <w:sz w:val="28"/>
              </w:rPr>
              <w:t>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130,1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134,1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 Обеспечение деятельности бюджетных учреждений на оплату труда (МБУК «МКДЦ «ЛИДЕР»)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12 065,4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15212,7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11407,4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11139,3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11139,3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9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12 063,7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15210,8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11405,5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11137,4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11137,4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6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,9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1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 Молодежь Крапивинского муниципального округа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2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8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14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1.8 Реализация мер в области государственной молодежной политики 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77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56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10000">
            <w:pPr>
              <w:spacing w:after="24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 Организация и проведение мероприятий, направленных на гражданское и пат</w:t>
            </w:r>
            <w:r>
              <w:rPr>
                <w:rFonts w:ascii="Times New Roman" w:hAnsi="Times New Roman"/>
                <w:sz w:val="28"/>
              </w:rPr>
              <w:t>риотическое воспитание молодежи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38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 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8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8 742,3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92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77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3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1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7 636,0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9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A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3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3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28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1 817,0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58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1.12.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C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68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3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1.13. Реализация программ и мероприятий по работе м детьми и молодежью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21,1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46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190,0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142,5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47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системы дополнительного образования в области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27 319,9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30914,9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23327,0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22899,0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22940,0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7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26 159,9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29988,2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21930,0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21460,0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3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</w:t>
            </w:r>
            <w:r>
              <w:rPr>
                <w:rFonts w:ascii="Times New Roman" w:hAnsi="Times New Roman"/>
                <w:sz w:val="28"/>
              </w:rPr>
              <w:t>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</w:t>
            </w:r>
            <w:r>
              <w:rPr>
                <w:rFonts w:ascii="Times New Roman" w:hAnsi="Times New Roman"/>
                <w:sz w:val="28"/>
              </w:rPr>
              <w:t>264,2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926,7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1397,0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1439,0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5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2.1 Обеспечение деятельности </w:t>
            </w: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(МБУ ДО КМО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ДШИ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</w:t>
            </w:r>
            <w:r>
              <w:rPr>
                <w:rFonts w:ascii="Times New Roman" w:hAnsi="Times New Roman"/>
                <w:sz w:val="28"/>
              </w:rPr>
              <w:t>989,5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3838,6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3695,0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3737,0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3778,0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7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2 844,5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 w:firstLine="0" w:left="0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ные не запрещенные законодатель</w:t>
            </w:r>
            <w:r>
              <w:rPr>
                <w:rFonts w:ascii="Times New Roman" w:hAnsi="Times New Roman"/>
                <w:sz w:val="28"/>
              </w:rPr>
              <w:t>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1 249,2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921,8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1395,0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1437,0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1478,0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85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2.1.1 Обеспечение деятельности бюджетных и автономных учре-ждений на оплату труда (МБУ ДО КМО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ДШИ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23 330,4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27076,3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19632,0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19162,0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19162,0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23 315,4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27071,4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19630,0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19160,0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30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4,9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30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Прочие мероприятия в области культуры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53502,2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40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44 066,4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53502,2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01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4"/>
        </w:trPr>
        <w:tc>
          <w:tcPr>
            <w:tcW w:type="dxa" w:w="42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3.1 Расходы на выплаты персоналу государственных (муниципальных) органов</w:t>
            </w:r>
          </w:p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3 313,5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6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3 313,5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3666,8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2980,0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2895,0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5"/>
        </w:trPr>
        <w:tc>
          <w:tcPr>
            <w:tcW w:type="dxa" w:w="42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567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 Расходы на выплаты персоналу казенных учреждений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40 539,1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49152,8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02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40 259,0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49152,8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6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493,5</w:t>
            </w:r>
          </w:p>
        </w:tc>
        <w:tc>
          <w:tcPr>
            <w:tcW w:type="dxa" w:w="14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682,6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381"/>
        </w:trPr>
        <w:tc>
          <w:tcPr>
            <w:tcW w:type="dxa" w:w="425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 Уплата налогов, сборов и иных платежей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90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606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Подпрограмма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"Доступная среда"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3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483"/>
        </w:trPr>
        <w:tc>
          <w:tcPr>
            <w:tcW w:type="dxa" w:w="4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4.1 Создание доступной среды для инвалидов и малообеспеченных граждан</w:t>
            </w:r>
          </w:p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555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32,0</w:t>
            </w: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43,5</w:t>
            </w: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24"/>
        </w:trPr>
        <w:tc>
          <w:tcPr>
            <w:tcW w:type="dxa" w:w="4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2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</w:t>
            </w:r>
          </w:p>
        </w:tc>
        <w:tc>
          <w:tcPr>
            <w:tcW w:type="dxa" w:w="1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"/>
          </w:tcPr>
          <w:p/>
        </w:tc>
      </w:tr>
    </w:tbl>
    <w:p w14:paraId="C3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C402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3686"/>
        <w:gridCol w:w="1275"/>
        <w:gridCol w:w="1134"/>
        <w:gridCol w:w="993"/>
        <w:gridCol w:w="1134"/>
        <w:gridCol w:w="992"/>
        <w:gridCol w:w="1134"/>
      </w:tblGrid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C6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14:paraId="C7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14:paraId="C8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</w:t>
            </w:r>
          </w:p>
          <w:p w14:paraId="CA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14:paraId="CC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3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 целевого   показателя (индикатора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  <w:t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0"/>
              <w:ind w:firstLine="0" w:left="14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</w:t>
            </w:r>
          </w:p>
          <w:p w14:paraId="DC02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«Культура Крапивинског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муниципального округа» на </w:t>
            </w:r>
          </w:p>
          <w:p w14:paraId="D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2023-2027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годы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интегральной  оценки эффективности муниципальной программы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0,85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удовлетворенности граждан Крапивинского муниципального округа качеством предоставления муниципальных услуг в сфере культуры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Подпрограмма «Развитие культуры»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работников учреждений  культуры к средней заработной плате  в Крапивинском муниципальном округе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100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14:paraId="FA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</w:p>
          <w:p w14:paraId="F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979"/>
        </w:trP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библиографических записей в сводном электронном каталоге библиотек Кемеровской области-Кузбассе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14:paraId="0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14:paraId="0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Посещаемость музейных учреждений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посещений на 1 жителя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2,1</w:t>
            </w:r>
          </w:p>
        </w:tc>
      </w:tr>
      <w:tr>
        <w:tc>
          <w:tcPr>
            <w:tcW w:type="dxa" w:w="49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 на 1000 человек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шт.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2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  <w:p w14:paraId="2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публичных библиотек, подключенных к сети «Интернет», в общем количестве библиотек Крапивинского муниципального округа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14:paraId="2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  <w:p w14:paraId="2D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9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</w:tr>
      <w:tr>
        <w:trPr>
          <w:trHeight w:hRule="atLeast" w:val="571"/>
        </w:trP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</w:tr>
      <w:tr>
        <w:trPr>
          <w:trHeight w:hRule="atLeast" w:val="2356"/>
        </w:trPr>
        <w:tc>
          <w:tcPr>
            <w:tcW w:type="dxa" w:w="49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</w:t>
            </w:r>
            <w:r>
              <w:rPr>
                <w:rFonts w:ascii="Times New Roman" w:hAnsi="Times New Roman"/>
                <w:sz w:val="28"/>
              </w:rPr>
              <w:t xml:space="preserve"> мероприятий, направленных на гражданское и патриотическое воспитание молодежи</w:t>
            </w:r>
            <w:r>
              <w:rPr>
                <w:rFonts w:ascii="Times New Roman" w:hAnsi="Times New Roman"/>
                <w:sz w:val="28"/>
              </w:rPr>
              <w:t xml:space="preserve"> от общего кол-ва проведенных мероприятий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571"/>
        </w:trPr>
        <w:tc>
          <w:tcPr>
            <w:tcW w:type="dxa" w:w="4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</w:p>
          <w:p w14:paraId="46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Сохранение контингента учащихся в школах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571"/>
        </w:trPr>
        <w:tc>
          <w:tcPr>
            <w:tcW w:type="dxa" w:w="4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области-Кузбассе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53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55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71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>. Подпрограмма «Доступная среда»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tabs>
                <w:tab w:leader="none" w:pos="1134" w:val="left"/>
              </w:tabs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доступных для инвалидов и других маломобильных групп населения объектов культуры из общего количества объектов.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1134" w:val="left"/>
              </w:tabs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14:paraId="5E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5F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0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1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2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3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4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5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p w14:paraId="6603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sectPr>
      <w:headerReference r:id="rId2" w:type="default"/>
      <w:headerReference r:id="rId3" w:type="first"/>
      <w:pgSz w:h="11908" w:orient="landscape" w:w="16848"/>
      <w:pgMar w:bottom="1134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4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Body Text"/>
    <w:basedOn w:val="Style_4"/>
    <w:link w:val="Style_12_ch"/>
  </w:style>
  <w:style w:styleId="Style_12_ch" w:type="character">
    <w:name w:val="Body Text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4_ch"/>
    <w:link w:val="Style_14"/>
    <w:rPr>
      <w:b w:val="1"/>
      <w:sz w:val="28"/>
    </w:rPr>
  </w:style>
  <w:style w:styleId="Style_15" w:type="paragraph">
    <w:name w:val="Balloon Text"/>
    <w:basedOn w:val="Style_4"/>
    <w:link w:val="Style_15_ch"/>
    <w:rPr>
      <w:sz w:val="16"/>
    </w:rPr>
  </w:style>
  <w:style w:styleId="Style_15_ch" w:type="character">
    <w:name w:val="Balloon Text"/>
    <w:basedOn w:val="Style_4_ch"/>
    <w:link w:val="Style_15"/>
    <w:rPr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able!Таблица"/>
    <w:link w:val="Style_18_ch"/>
    <w:rPr>
      <w:rFonts w:ascii="Arial" w:hAnsi="Arial"/>
      <w:sz w:val="24"/>
    </w:rPr>
  </w:style>
  <w:style w:styleId="Style_18_ch" w:type="character">
    <w:name w:val="Table!Таблица"/>
    <w:link w:val="Style_18"/>
    <w:rPr>
      <w:rFonts w:ascii="Arial" w:hAnsi="Arial"/>
      <w:sz w:val="24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4"/>
    <w:next w:val="Style_4"/>
    <w:link w:val="Style_2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4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basedOn w:val="Style_4"/>
    <w:next w:val="Style_4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4_ch"/>
    <w:link w:val="Style_21"/>
    <w:rPr>
      <w:b w:val="1"/>
      <w:sz w:val="32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annotation text"/>
    <w:basedOn w:val="Style_4"/>
    <w:link w:val="Style_28_ch"/>
    <w:rPr>
      <w:rFonts w:ascii="Courier" w:hAnsi="Courier"/>
      <w:sz w:val="22"/>
    </w:rPr>
  </w:style>
  <w:style w:styleId="Style_28_ch" w:type="character">
    <w:name w:val="annotation text"/>
    <w:basedOn w:val="Style_4_ch"/>
    <w:link w:val="Style_28"/>
    <w:rPr>
      <w:rFonts w:ascii="Courier" w:hAnsi="Courier"/>
      <w:sz w:val="22"/>
    </w:rPr>
  </w:style>
  <w:style w:styleId="Style_29" w:type="paragraph">
    <w:name w:val="Title!Название НПА"/>
    <w:basedOn w:val="Style_4"/>
    <w:link w:val="Style_29_ch"/>
    <w:pPr>
      <w:spacing w:after="60" w:before="240"/>
      <w:ind/>
      <w:jc w:val="center"/>
      <w:outlineLvl w:val="0"/>
    </w:pPr>
    <w:rPr>
      <w:b w:val="1"/>
      <w:sz w:val="32"/>
    </w:rPr>
  </w:style>
  <w:style w:styleId="Style_29_ch" w:type="character">
    <w:name w:val="Title!Название НПА"/>
    <w:basedOn w:val="Style_4_ch"/>
    <w:link w:val="Style_29"/>
    <w:rPr>
      <w:b w:val="1"/>
      <w:sz w:val="32"/>
    </w:rPr>
  </w:style>
  <w:style w:styleId="Style_30" w:type="paragraph">
    <w:name w:val="Application!Приложение"/>
    <w:link w:val="Style_3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0_ch" w:type="character">
    <w:name w:val="Application!Приложение"/>
    <w:link w:val="Style_30"/>
    <w:rPr>
      <w:rFonts w:ascii="Arial" w:hAnsi="Arial"/>
      <w:b w:val="1"/>
      <w:sz w:val="32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HTML Variable"/>
    <w:link w:val="Style_32_ch"/>
    <w:rPr>
      <w:rFonts w:ascii="Arial" w:hAnsi="Arial"/>
      <w:color w:val="0000FF"/>
      <w:sz w:val="24"/>
      <w:u w:val="none"/>
    </w:rPr>
  </w:style>
  <w:style w:styleId="Style_32_ch" w:type="character">
    <w:name w:val="HTML Variable"/>
    <w:link w:val="Style_32"/>
    <w:rPr>
      <w:rFonts w:ascii="Arial" w:hAnsi="Arial"/>
      <w:color w:val="0000FF"/>
      <w:sz w:val="24"/>
      <w:u w:val="none"/>
    </w:rPr>
  </w:style>
  <w:style w:styleId="Style_3" w:type="paragraph">
    <w:name w:val="Table!"/>
    <w:next w:val="Style_18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33" w:type="paragraph">
    <w:name w:val="List Paragraph"/>
    <w:basedOn w:val="Style_4"/>
    <w:link w:val="Style_33_ch"/>
    <w:pPr>
      <w:ind w:firstLine="0" w:left="720"/>
      <w:contextualSpacing w:val="1"/>
    </w:pPr>
  </w:style>
  <w:style w:styleId="Style_33_ch" w:type="character">
    <w:name w:val="List Paragraph"/>
    <w:basedOn w:val="Style_4_ch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4"/>
    <w:link w:val="Style_35_ch"/>
    <w:uiPriority w:val="10"/>
    <w:qFormat/>
    <w:pPr>
      <w:ind/>
      <w:jc w:val="center"/>
    </w:pPr>
  </w:style>
  <w:style w:styleId="Style_35_ch" w:type="character">
    <w:name w:val="Title"/>
    <w:basedOn w:val="Style_4_ch"/>
    <w:link w:val="Style_35"/>
  </w:style>
  <w:style w:styleId="Style_36" w:type="paragraph">
    <w:name w:val="heading 4"/>
    <w:basedOn w:val="Style_4"/>
    <w:link w:val="Style_36_ch"/>
    <w:uiPriority w:val="9"/>
    <w:qFormat/>
    <w:pPr>
      <w:ind/>
      <w:outlineLvl w:val="3"/>
    </w:pPr>
    <w:rPr>
      <w:b w:val="1"/>
      <w:sz w:val="26"/>
    </w:rPr>
  </w:style>
  <w:style w:styleId="Style_36_ch" w:type="character">
    <w:name w:val="heading 4"/>
    <w:basedOn w:val="Style_4_ch"/>
    <w:link w:val="Style_36"/>
    <w:rPr>
      <w:b w:val="1"/>
      <w:sz w:val="26"/>
    </w:rPr>
  </w:style>
  <w:style w:styleId="Style_37" w:type="paragraph">
    <w:name w:val="heading 2"/>
    <w:basedOn w:val="Style_4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4_ch"/>
    <w:link w:val="Style_37"/>
    <w:rPr>
      <w:b w:val="1"/>
      <w:sz w:val="30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2024-12-28T03:35:22Z</dcterms:modified>
</cp:coreProperties>
</file>