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0"/>
        </w:rPr>
      </w:pPr>
    </w:p>
    <w:p w14:paraId="0C000000">
      <w:pPr>
        <w:widowControl w:val="1"/>
        <w:ind w:firstLine="0" w:left="5387" w:right="-5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0D000000">
      <w:pPr>
        <w:widowControl w:val="1"/>
        <w:ind w:firstLine="0" w:left="5387" w:right="-5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0E000000">
      <w:pPr>
        <w:widowControl w:val="1"/>
        <w:ind w:firstLine="0" w:left="5387" w:right="-5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Крапивинского муниципального округа</w:t>
      </w:r>
    </w:p>
    <w:p w14:paraId="0F000000">
      <w:pPr>
        <w:widowControl w:val="1"/>
        <w:ind w:firstLine="0" w:left="5387" w:right="-5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>25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>марта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315</w:t>
      </w:r>
    </w:p>
    <w:p w14:paraId="10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11000000">
      <w:pPr>
        <w:widowControl w:val="1"/>
        <w:tabs>
          <w:tab w:leader="none" w:pos="1134" w:val="left"/>
        </w:tabs>
        <w:ind w:firstLine="0"/>
        <w:jc w:val="center"/>
        <w:rPr>
          <w:rFonts w:ascii="Times New Roman" w:hAnsi="Times New Roman"/>
          <w:b w:val="1"/>
          <w:sz w:val="28"/>
        </w:rPr>
      </w:pPr>
      <w:bookmarkStart w:id="1" w:name="_Hlt119076883"/>
      <w:bookmarkEnd w:id="1"/>
      <w:bookmarkStart w:id="2" w:name="_Hlt119076884"/>
      <w:bookmarkEnd w:id="2"/>
      <w:bookmarkStart w:id="3" w:name="_Hlt119076888"/>
      <w:bookmarkEnd w:id="3"/>
      <w:r>
        <w:rPr>
          <w:rFonts w:ascii="Times New Roman" w:hAnsi="Times New Roman"/>
          <w:b w:val="1"/>
          <w:sz w:val="28"/>
        </w:rPr>
        <w:t>4. Ресурсное обеспечение реализации муниципальной программы "Культура Крапивинского муниципального округа" на 202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 - 202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 xml:space="preserve"> годы</w:t>
      </w:r>
    </w:p>
    <w:p w14:paraId="1200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center"/>
        <w:tblInd w:type="dxa" w:w="-176"/>
        <w:tblLayout w:type="fixed"/>
      </w:tblPr>
      <w:tblGrid>
        <w:gridCol w:w="4251"/>
        <w:gridCol w:w="4251"/>
        <w:gridCol w:w="1409"/>
        <w:gridCol w:w="1406"/>
        <w:gridCol w:w="1409"/>
        <w:gridCol w:w="1409"/>
        <w:gridCol w:w="1422"/>
        <w:gridCol w:w="13"/>
      </w:tblGrid>
      <w:tr>
        <w:trPr>
          <w:trHeight w:hRule="atLeast" w:val="390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pStyle w:val="Style_4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Наименование</w:t>
            </w:r>
          </w:p>
          <w:p w14:paraId="14000000">
            <w:pPr>
              <w:pStyle w:val="Style_4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муниципальной программы,</w:t>
            </w:r>
          </w:p>
          <w:p w14:paraId="1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подпрограммы, мероприятия</w:t>
            </w:r>
          </w:p>
        </w:tc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  <w:tc>
          <w:tcPr>
            <w:tcW w:type="dxa" w:w="7068"/>
            <w:gridSpan w:val="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Объем финансовых ресурсов, </w:t>
            </w:r>
            <w:r>
              <w:rPr>
                <w:rFonts w:ascii="Times New Roman" w:hAnsi="Times New Roman"/>
                <w:sz w:val="28"/>
              </w:rPr>
              <w:t>тыс. руб.</w:t>
            </w:r>
          </w:p>
        </w:tc>
      </w:tr>
      <w:tr>
        <w:trPr>
          <w:trHeight w:hRule="atLeast" w:val="900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14:paraId="1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14:paraId="1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77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«Культура Крапивинского муни</w:t>
            </w:r>
            <w:r>
              <w:rPr>
                <w:rFonts w:ascii="Times New Roman" w:hAnsi="Times New Roman"/>
                <w:sz w:val="28"/>
              </w:rPr>
              <w:t xml:space="preserve">ципального округа» </w:t>
            </w:r>
          </w:p>
          <w:p w14:paraId="2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на 2023-2027</w:t>
            </w:r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206 397,1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3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224471</w:t>
            </w:r>
            <w:r>
              <w:rPr>
                <w:rFonts w:ascii="Times New Roman" w:hAnsi="Times New Roman"/>
                <w:sz w:val="28"/>
              </w:rPr>
              <w:t>,3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202248,1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162923,9</w:t>
            </w:r>
          </w:p>
        </w:tc>
        <w:tc>
          <w:tcPr>
            <w:tcW w:type="dxa" w:w="142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162037,9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69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188 401,8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217237,9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194328,1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155086,8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154086,8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0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widowControl w:val="1"/>
              <w:ind w:firstLine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ные не запрещенные законодатель</w:t>
            </w:r>
            <w:r>
              <w:rPr>
                <w:rFonts w:ascii="Times New Roman" w:hAnsi="Times New Roman"/>
                <w:sz w:val="28"/>
              </w:rPr>
              <w:t>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28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9 806,6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5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4 960,8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4189,8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4038,1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4038,1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4038,1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1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3 227,9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2943,6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3881,9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3799,0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3913,0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07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Подпрограмма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"Развитие культуры"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132 910,9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139936,3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121191,5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101429,9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100502,9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51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118 143,5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133629,6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114295,2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95031,8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94031,8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8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widowControl w:val="1"/>
              <w:ind w:firstLine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ные не запрещенные законодатель</w:t>
            </w:r>
            <w:r>
              <w:rPr>
                <w:rFonts w:ascii="Times New Roman" w:hAnsi="Times New Roman"/>
                <w:sz w:val="28"/>
              </w:rPr>
              <w:t>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489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9 806,6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41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4 960,8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4189,8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4038,1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4038,1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4038,1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7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1 963,7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2016,9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2858,2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2433,0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360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Мероприятия:                                                                                                                                                                                                                                                                       1.1 Обеспечение деятельности учреждений культуры и мероприя</w:t>
            </w:r>
            <w:r>
              <w:rPr>
                <w:rFonts w:ascii="Times New Roman" w:hAnsi="Times New Roman"/>
                <w:sz w:val="28"/>
              </w:rPr>
              <w:t>тий в сфере культуры и кинемато</w:t>
            </w:r>
            <w:r>
              <w:rPr>
                <w:rFonts w:ascii="Times New Roman" w:hAnsi="Times New Roman"/>
                <w:sz w:val="28"/>
              </w:rPr>
              <w:t>графии (МБУК "КСКО")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20 272,0</w:t>
            </w: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19547,9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17116,0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12779,5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11836,5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477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18 753,4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18049,3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15248,3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1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widowControl w:val="1"/>
              <w:ind w:firstLine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ные не запрещенные законодатель</w:t>
            </w:r>
            <w:r>
              <w:rPr>
                <w:rFonts w:ascii="Times New Roman" w:hAnsi="Times New Roman"/>
                <w:sz w:val="28"/>
              </w:rPr>
              <w:t>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61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1 518,6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1498,6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1867,7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1779,5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1836,5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431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widowControl w:val="1"/>
              <w:ind w:firstLine="0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 Обеспечение деятельности бюджетных и автономных учреждений на оплату труда (МБУК «КСКО»)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57 884,4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69076,7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57882,1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50435,9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50435,9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51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57 836,7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69024,2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57752,1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50381,4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50381,4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928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47,7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52,5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4,5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54,5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381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 Обеспечение деятельности библиотек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</w:t>
            </w:r>
            <w:r>
              <w:rPr>
                <w:rFonts w:ascii="Times New Roman" w:hAnsi="Times New Roman"/>
                <w:sz w:val="28"/>
              </w:rPr>
              <w:t>409,8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3457,9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3279,4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2547,7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2555,7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41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3 210,2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3232,5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2836,4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1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widowControl w:val="1"/>
              <w:ind w:firstLine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ные не запрещенные законодатель</w:t>
            </w:r>
            <w:r>
              <w:rPr>
                <w:rFonts w:ascii="Times New Roman" w:hAnsi="Times New Roman"/>
                <w:sz w:val="28"/>
              </w:rPr>
              <w:t>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7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199,6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225,4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443,0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247,7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255,7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47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1.2.1 Обеспечение деятельности бюджетных учреждений на оплату труда (МБУК «КБС»)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21 </w:t>
            </w:r>
            <w:r>
              <w:rPr>
                <w:rFonts w:ascii="Times New Roman" w:hAnsi="Times New Roman"/>
                <w:sz w:val="28"/>
              </w:rPr>
              <w:t>366,3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22958,7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19460,0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16567,7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16567,7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08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21 360,6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22952,4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19450,8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16561,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16561,4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3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5,7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6,3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9,2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6,3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6,3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450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  <w:r>
              <w:rPr>
                <w:rFonts w:ascii="Times New Roman" w:hAnsi="Times New Roman"/>
                <w:sz w:val="28"/>
              </w:rPr>
              <w:t xml:space="preserve"> Обеспечение деятельности музеев</w:t>
            </w:r>
            <w:r>
              <w:rPr>
                <w:rFonts w:ascii="Times New Roman" w:hAnsi="Times New Roman"/>
                <w:sz w:val="28"/>
              </w:rPr>
              <w:t xml:space="preserve"> и постоянных выставок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473,7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685,4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631,7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432,5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436,5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4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387,1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565,0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3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widowControl w:val="1"/>
              <w:ind w:firstLine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ные не запрещенные законодатель</w:t>
            </w:r>
            <w:r>
              <w:rPr>
                <w:rFonts w:ascii="Times New Roman" w:hAnsi="Times New Roman"/>
                <w:sz w:val="28"/>
              </w:rPr>
              <w:t>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7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86,6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120,4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254,6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132,5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136,5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86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1.3.1 Обеспечение деятельности бюджетных учреждений на оплату труда (МБУ культуры "ККМ")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3 023,6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3803,6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4771,3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2802,8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2802,8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1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3 022,1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3801,2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4740,4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279</w:t>
            </w:r>
            <w:r>
              <w:rPr>
                <w:rFonts w:ascii="Times New Roman" w:hAnsi="Times New Roman"/>
                <w:sz w:val="28"/>
              </w:rPr>
              <w:t>9,3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2799,3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6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30,9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379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1.3.2 Реализация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330,9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413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9,9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8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widowControl w:val="1"/>
              <w:ind w:firstLine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ные не запрещенные законодатель</w:t>
            </w:r>
            <w:r>
              <w:rPr>
                <w:rFonts w:ascii="Times New Roman" w:hAnsi="Times New Roman"/>
                <w:sz w:val="28"/>
              </w:rPr>
              <w:t>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43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253,6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89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67,4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93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widowControl w:val="1"/>
              <w:ind w:firstLine="0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 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4 104,1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4120,3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4016,1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4016,1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  <w:r>
              <w:rPr>
                <w:rFonts w:ascii="Times New Roman" w:hAnsi="Times New Roman"/>
                <w:sz w:val="28"/>
              </w:rPr>
              <w:t>16,1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466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123,1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123,6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120,5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120,5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120,5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2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widowControl w:val="1"/>
              <w:ind w:firstLine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</w:t>
            </w:r>
            <w:r>
              <w:rPr>
                <w:rFonts w:ascii="Times New Roman" w:hAnsi="Times New Roman"/>
                <w:sz w:val="28"/>
              </w:rPr>
              <w:t>нодатель</w:t>
            </w:r>
            <w:r>
              <w:rPr>
                <w:rFonts w:ascii="Times New Roman" w:hAnsi="Times New Roman"/>
                <w:sz w:val="28"/>
              </w:rPr>
              <w:t>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C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42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3981,0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3996,7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3895,6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3895,6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3895,6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433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 Обеспечение деятельности (оказания услуг) подведомственных  учреждений в сфере культуры и кинематографии (МБУК «МКДЦ «ЛИДЕР»)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7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312,5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423,8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340,5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334,1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338,1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411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D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210,2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314,4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221,6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4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3010000">
            <w:pPr>
              <w:widowControl w:val="1"/>
              <w:ind w:firstLine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ные не запрещенные законодатель</w:t>
            </w:r>
            <w:r>
              <w:rPr>
                <w:rFonts w:ascii="Times New Roman" w:hAnsi="Times New Roman"/>
                <w:sz w:val="28"/>
              </w:rPr>
              <w:t>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60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</w:t>
            </w:r>
            <w:r>
              <w:rPr>
                <w:rFonts w:ascii="Times New Roman" w:hAnsi="Times New Roman"/>
                <w:sz w:val="28"/>
              </w:rPr>
              <w:t>,3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109,4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118,9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134,1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138,1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68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 Обеспечение деятельности бюджетных учреждений на оплату труда (МБУК «МКДЦ «ЛИДЕР»)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12 065,4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15212,7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13275,2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11139,3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11139,3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49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6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12 063,7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15210,8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13271,3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11137,4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11137,4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6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C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3,9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61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10000">
            <w:pPr>
              <w:widowControl w:val="1"/>
              <w:spacing w:after="24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 Молодежь Крапивинского муниципального округа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191,1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390,4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260,9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2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191,1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390,4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260,9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780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414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10000">
            <w:pPr>
              <w:widowControl w:val="1"/>
              <w:spacing w:after="24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1.8 Реализация мер в области государственной молодежной политики 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6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211,1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477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C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D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21,1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70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2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756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708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E010000">
            <w:pPr>
              <w:widowControl w:val="1"/>
              <w:spacing w:after="24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1.9 Организация и проведение мероприятий, направленных на гражданское и пат</w:t>
            </w:r>
            <w:r>
              <w:rPr>
                <w:rFonts w:ascii="Times New Roman" w:hAnsi="Times New Roman"/>
                <w:sz w:val="28"/>
              </w:rPr>
              <w:t>риотическое воспитание молодежи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15,9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6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5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15,9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438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1.10 Государственная поддержка отрасли культуры (обеспечение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8C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14:paraId="8D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8 742,3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92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3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77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9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43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F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236,3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51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  <w:r>
              <w:rPr>
                <w:rFonts w:ascii="Times New Roman" w:hAnsi="Times New Roman"/>
                <w:sz w:val="28"/>
              </w:rPr>
              <w:t xml:space="preserve">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7 636,0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59"/>
        </w:trPr>
        <w:tc>
          <w:tcPr>
            <w:tcW w:type="dxa" w:w="4251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1.11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AC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14:paraId="AD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2 371,1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483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71,1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730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28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F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483,0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50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5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  <w:r>
              <w:rPr>
                <w:rFonts w:ascii="Times New Roman" w:hAnsi="Times New Roman"/>
                <w:sz w:val="28"/>
              </w:rPr>
              <w:t xml:space="preserve">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1 817,0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58"/>
        </w:trPr>
        <w:tc>
          <w:tcPr>
            <w:tcW w:type="dxa" w:w="4251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1.12. 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CC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14:paraId="CD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106,3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106,3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468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3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3,2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3,2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730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9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66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F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46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5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</w:t>
            </w:r>
            <w:r>
              <w:rPr>
                <w:rFonts w:ascii="Times New Roman" w:hAnsi="Times New Roman"/>
                <w:sz w:val="28"/>
              </w:rPr>
              <w:t xml:space="preserve">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46"/>
        </w:trPr>
        <w:tc>
          <w:tcPr>
            <w:tcW w:type="dxa" w:w="4251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1.13. Реализация программ и мероприятий по работе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 детьми и молодежью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C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D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E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211,1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158,3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158,3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158,3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46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2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3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4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21,1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15,8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15,8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15,8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46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8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A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46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E01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F01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0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190,0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142,5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142,5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142,5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347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Подпрограмма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Развитие системы дополнительного образования в области культуры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5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27 319,9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30914,9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28812,1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22899,0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22940,0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467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B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26 159,9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29988,2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27788,4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21460,0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21460,0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73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1020000">
            <w:pPr>
              <w:widowControl w:val="1"/>
              <w:ind w:firstLine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</w:t>
            </w:r>
            <w:r>
              <w:rPr>
                <w:rFonts w:ascii="Times New Roman" w:hAnsi="Times New Roman"/>
                <w:sz w:val="28"/>
              </w:rPr>
              <w:t>щенные законодатель</w:t>
            </w:r>
            <w:r>
              <w:rPr>
                <w:rFonts w:ascii="Times New Roman" w:hAnsi="Times New Roman"/>
                <w:sz w:val="28"/>
              </w:rPr>
              <w:t>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8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7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</w:t>
            </w:r>
            <w:r>
              <w:rPr>
                <w:rFonts w:ascii="Times New Roman" w:hAnsi="Times New Roman"/>
                <w:sz w:val="28"/>
              </w:rPr>
              <w:t>264,2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926,7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1023,7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1439,0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375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Мероприятия:                                                                                                                                                                                                                                                                     2.1 Обеспечение деятельности </w:t>
            </w:r>
            <w:r>
              <w:rPr>
                <w:rFonts w:ascii="Times New Roman" w:hAnsi="Times New Roman"/>
                <w:sz w:val="28"/>
              </w:rPr>
              <w:t>дополнительного образования</w:t>
            </w:r>
            <w:r>
              <w:rPr>
                <w:rFonts w:ascii="Times New Roman" w:hAnsi="Times New Roman"/>
                <w:sz w:val="28"/>
              </w:rPr>
              <w:t xml:space="preserve"> (МБУ ДО КМО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ДШИ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</w:t>
            </w:r>
            <w:r>
              <w:rPr>
                <w:rFonts w:ascii="Times New Roman" w:hAnsi="Times New Roman"/>
                <w:sz w:val="28"/>
              </w:rPr>
              <w:t>989,5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0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3838,6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3463,2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3737,0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3778,0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37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2 844,5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6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2916,8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2537,6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8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widowControl w:val="1"/>
              <w:ind w:firstLine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ные не запрещенные законодатель</w:t>
            </w:r>
            <w:r>
              <w:rPr>
                <w:rFonts w:ascii="Times New Roman" w:hAnsi="Times New Roman"/>
                <w:sz w:val="28"/>
              </w:rPr>
              <w:t>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8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1 249,2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921,8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925,6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1437,0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1478,0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85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2.1.1 Обеспечение деятельности бюджетных и автономных учре-ждений на оплату труда (МБУ ДО КМО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ДШИ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23 330,4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27076,3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25348,9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19162,0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19162,0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3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23 315,4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27071,4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25250,8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19160,0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19160,0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630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юридических и физических лиц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4,9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330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Подпрограмма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Прочие мероприятия в области культуры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44 066,4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53502,2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52044,5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38395,0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38395,0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40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44 066,4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53502,2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52044,5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8395,0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38395,0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1014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64"/>
        </w:trPr>
        <w:tc>
          <w:tcPr>
            <w:tcW w:type="dxa" w:w="4251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Мероприятия: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3.1 Расходы на выплаты персоналу государственных (муниципальных) органов</w:t>
            </w:r>
          </w:p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3 313,5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3637,7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2895,0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2895,0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46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3 313,5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3666,8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3637,7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2895,0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2895,0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55"/>
        </w:trPr>
        <w:tc>
          <w:tcPr>
            <w:tcW w:type="dxa" w:w="4251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567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 Расходы на выплаты персоналу казенных учреждений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40 539,1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49152,8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47943,1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702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40 259,0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49152,8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47943,1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56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493,5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682,6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450,8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64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493,5</w:t>
            </w:r>
          </w:p>
        </w:tc>
        <w:tc>
          <w:tcPr>
            <w:tcW w:type="dxa" w:w="14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682,6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450,8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724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381"/>
        </w:trPr>
        <w:tc>
          <w:tcPr>
            <w:tcW w:type="dxa" w:w="4251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 Уплата налогов, сборов и иных платежей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12,9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490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12,9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724"/>
        </w:trPr>
        <w:tc>
          <w:tcPr>
            <w:tcW w:type="dxa" w:w="425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D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606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Подпрограмма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   "Доступная среда"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32,0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43,5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3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32,0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43,5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724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0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  <w:tr>
        <w:trPr>
          <w:trHeight w:hRule="atLeast" w:val="483"/>
        </w:trPr>
        <w:tc>
          <w:tcPr>
            <w:tcW w:type="dxa" w:w="42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Мероприятия: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4.1 Создание доступной среды для инвалидов и малообеспеченных граждан</w:t>
            </w:r>
          </w:p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32,0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43,5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555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D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32,0</w:t>
            </w: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43,5</w:t>
            </w: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200,0</w:t>
            </w:r>
          </w:p>
        </w:tc>
        <w:tc>
          <w:tcPr>
            <w:tcW w:type="dxa" w:w="13"/>
          </w:tcPr>
          <w:p/>
        </w:tc>
      </w:tr>
      <w:tr>
        <w:trPr>
          <w:trHeight w:hRule="atLeast" w:val="724"/>
        </w:trPr>
        <w:tc>
          <w:tcPr>
            <w:tcW w:type="dxa" w:w="42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2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иные не запрещенные законодательством источники</w:t>
            </w:r>
          </w:p>
        </w:tc>
        <w:tc>
          <w:tcPr>
            <w:tcW w:type="dxa" w:w="14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0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"/>
          </w:tcPr>
          <w:p/>
        </w:tc>
      </w:tr>
    </w:tbl>
    <w:p w14:paraId="C8020000">
      <w:pPr>
        <w:widowControl w:val="1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C902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62"/>
        <w:gridCol w:w="3686"/>
        <w:gridCol w:w="1275"/>
        <w:gridCol w:w="1134"/>
        <w:gridCol w:w="993"/>
        <w:gridCol w:w="1134"/>
        <w:gridCol w:w="992"/>
        <w:gridCol w:w="1134"/>
      </w:tblGrid>
      <w:tr>
        <w:tc>
          <w:tcPr>
            <w:tcW w:type="dxa" w:w="49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  <w:p w14:paraId="CB02000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   программы,</w:t>
            </w:r>
          </w:p>
          <w:p w14:paraId="CC02000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подпрограммы, основного</w:t>
            </w:r>
          </w:p>
          <w:p w14:paraId="CD02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мероприятия, мероприятия</w:t>
            </w:r>
          </w:p>
        </w:tc>
        <w:tc>
          <w:tcPr>
            <w:tcW w:type="dxa" w:w="3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</w:t>
            </w:r>
          </w:p>
          <w:p w14:paraId="CF02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показателя (индикатора)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20000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Единица</w:t>
            </w:r>
          </w:p>
          <w:p w14:paraId="D102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измерения</w:t>
            </w:r>
          </w:p>
        </w:tc>
        <w:tc>
          <w:tcPr>
            <w:tcW w:type="dxa" w:w="538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Плановое значение  ц</w:t>
            </w:r>
            <w:r>
              <w:rPr>
                <w:rFonts w:ascii="Times New Roman" w:hAnsi="Times New Roman"/>
                <w:sz w:val="28"/>
              </w:rPr>
              <w:t>елевого   показателя (индикатора)</w:t>
            </w:r>
          </w:p>
        </w:tc>
      </w:tr>
      <w:tr>
        <w:tc>
          <w:tcPr>
            <w:tcW w:type="dxa" w:w="49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2027 год </w:t>
            </w:r>
          </w:p>
        </w:tc>
      </w:tr>
      <w:t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c>
          <w:tcPr>
            <w:tcW w:type="dxa" w:w="49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widowControl w:val="0"/>
              <w:ind w:firstLine="0" w:left="142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Муниципальная программа</w:t>
            </w:r>
          </w:p>
          <w:p w14:paraId="E102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«Культура Крапивинског</w:t>
            </w:r>
            <w:r>
              <w:rPr>
                <w:rFonts w:ascii="Times New Roman" w:hAnsi="Times New Roman"/>
                <w:b w:val="1"/>
                <w:sz w:val="28"/>
              </w:rPr>
              <w:t xml:space="preserve">о муниципального округа» на </w:t>
            </w:r>
          </w:p>
          <w:p w14:paraId="E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2023-2027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годы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Показатель интегральной  оценки эффективности муниципальной программы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0,85</w:t>
            </w:r>
          </w:p>
        </w:tc>
      </w:tr>
      <w:tr>
        <w:tc>
          <w:tcPr>
            <w:tcW w:type="dxa" w:w="49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удовлетворенности граждан Крапивинского муниципального округа качеством предоставления муниципальных услуг в сфере культуры 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c>
          <w:tcPr>
            <w:tcW w:type="dxa" w:w="49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Подпрограмма «Развитие культуры»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Соотношение средней заработной платы работников учреждений  культуры к средней заработной плате  в Крапивинском муниципальном округе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100</w:t>
            </w:r>
          </w:p>
        </w:tc>
      </w:tr>
      <w:tr>
        <w:tc>
          <w:tcPr>
            <w:tcW w:type="dxa" w:w="49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Увеличение численности посетителей  культурно – массовых  мероприятий (по сравнению с предыдущим годом)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2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</w:t>
            </w:r>
          </w:p>
          <w:p w14:paraId="FF02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</w:t>
            </w:r>
          </w:p>
          <w:p w14:paraId="01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979"/>
        </w:trPr>
        <w:tc>
          <w:tcPr>
            <w:tcW w:type="dxa" w:w="49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Увеличение количества библиографических записей в сводном электронном каталоге библиотек Кемеровской области-Кузбассе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</w:t>
            </w:r>
          </w:p>
          <w:p w14:paraId="08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</w:t>
            </w:r>
          </w:p>
          <w:p w14:paraId="0A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9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Посещаемость музейных учреждений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посещений на 1 жителя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</w:t>
            </w:r>
          </w:p>
        </w:tc>
      </w:tr>
      <w:tr>
        <w:tc>
          <w:tcPr>
            <w:tcW w:type="dxa" w:w="496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Увеличение количества выставочных проектов, осуществляемых в партнерстве с музеями Кемеровской области – Кузбассе и федеральными музеями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Ед.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496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экземпляров новых поступлений в библиотечные фонды общедоступных библиотек на 1000 человек населения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 на 1000 человек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</w:tr>
      <w:tr>
        <w:tc>
          <w:tcPr>
            <w:tcW w:type="dxa" w:w="496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книг, приобретенных муниципальными библиотеками Крапивинского муниципального округа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шт.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  <w:p w14:paraId="27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</w:t>
            </w:r>
          </w:p>
          <w:p w14:paraId="29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96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публичных библиотек, подключенных к сети «Интернет», в общем количестве библиотек Крапивинского муниципального округа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  <w:p w14:paraId="30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  <w:p w14:paraId="32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96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widowControl w:val="1"/>
              <w:ind w:firstLine="0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9,2</w:t>
            </w:r>
          </w:p>
        </w:tc>
      </w:tr>
      <w:tr>
        <w:trPr>
          <w:trHeight w:hRule="atLeast" w:val="571"/>
        </w:trPr>
        <w:tc>
          <w:tcPr>
            <w:tcW w:type="dxa" w:w="496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pPr>
              <w:widowControl w:val="1"/>
              <w:ind w:firstLine="0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человек временно - трудоустроенной молодежи от 14 до 18 лет на летний период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</w:tr>
      <w:tr>
        <w:trPr>
          <w:trHeight w:hRule="atLeast" w:val="2356"/>
        </w:trPr>
        <w:tc>
          <w:tcPr>
            <w:tcW w:type="dxa" w:w="496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widowControl w:val="1"/>
              <w:ind w:firstLine="0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проведенных</w:t>
            </w:r>
            <w:r>
              <w:rPr>
                <w:rFonts w:ascii="Times New Roman" w:hAnsi="Times New Roman"/>
                <w:sz w:val="28"/>
              </w:rPr>
              <w:t xml:space="preserve"> мероприятий, направленных на гражданское и патриотическое воспитание молодежи</w:t>
            </w:r>
            <w:r>
              <w:rPr>
                <w:rFonts w:ascii="Times New Roman" w:hAnsi="Times New Roman"/>
                <w:sz w:val="28"/>
              </w:rPr>
              <w:t xml:space="preserve"> от общего кол-ва проведенных мероприятий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571"/>
        </w:trPr>
        <w:tc>
          <w:tcPr>
            <w:tcW w:type="dxa" w:w="49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3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2. Подпрограмма «Развитие системы дополнительного образования в области культуры»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widowControl w:val="1"/>
              <w:ind w:firstLine="0" w:left="142"/>
              <w:jc w:val="center"/>
              <w:rPr>
                <w:rFonts w:ascii="Times New Roman" w:hAnsi="Times New Roman"/>
                <w:sz w:val="28"/>
              </w:rPr>
            </w:pPr>
          </w:p>
          <w:p w14:paraId="4B030000">
            <w:pPr>
              <w:widowControl w:val="1"/>
              <w:ind w:firstLine="0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Сохранение контингента учащихся в школах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rPr>
          <w:trHeight w:hRule="atLeast" w:val="571"/>
        </w:trPr>
        <w:tc>
          <w:tcPr>
            <w:tcW w:type="dxa" w:w="49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30000">
            <w:pPr>
              <w:widowControl w:val="1"/>
              <w:ind w:firstLine="0" w:left="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Соотношение средней заработной платы педагогов дополнительного образования в сфере культуры и средней заработной платы учителей в Кемеровской области-Кузбассе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14:paraId="58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  <w:p w14:paraId="5A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71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  <w:r>
              <w:rPr>
                <w:rFonts w:ascii="Times New Roman" w:hAnsi="Times New Roman"/>
                <w:b w:val="1"/>
                <w:sz w:val="28"/>
              </w:rPr>
              <w:t>. Подпрограмма «Доступная среда»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widowControl w:val="1"/>
              <w:tabs>
                <w:tab w:leader="none" w:pos="1134" w:val="left"/>
              </w:tabs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доступных для инвалидов и других маломобильных групп населения объектов культуры из общего количества объектов.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30000">
            <w:pPr>
              <w:widowControl w:val="1"/>
              <w:tabs>
                <w:tab w:leader="none" w:pos="1134" w:val="left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widowControl w:val="1"/>
              <w:tabs>
                <w:tab w:leader="none" w:pos="1134" w:val="left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widowControl w:val="1"/>
              <w:tabs>
                <w:tab w:leader="none" w:pos="1134" w:val="left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widowControl w:val="1"/>
              <w:tabs>
                <w:tab w:leader="none" w:pos="1134" w:val="left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1"/>
              <w:tabs>
                <w:tab w:leader="none" w:pos="1134" w:val="left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 w14:paraId="6303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6403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6503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6603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6703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6803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6903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6A03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p w14:paraId="6B030000">
      <w:pPr>
        <w:widowControl w:val="1"/>
        <w:tabs>
          <w:tab w:leader="none" w:pos="1134" w:val="left"/>
        </w:tabs>
        <w:ind w:firstLine="0"/>
        <w:rPr>
          <w:rFonts w:ascii="Times New Roman" w:hAnsi="Times New Roman"/>
          <w:sz w:val="28"/>
        </w:rPr>
      </w:pPr>
    </w:p>
    <w:sectPr>
      <w:headerReference r:id="rId5" w:type="default"/>
      <w:headerReference r:id="rId9" w:type="first"/>
      <w:footerReference r:id="rId6" w:type="default"/>
      <w:pgSz w:h="11908" w:orient="landscape" w:w="16848"/>
      <w:pgMar w:bottom="1134" w:footer="108" w:gutter="0" w:header="709" w:left="1701" w:right="992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 w:right="360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1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w:t xml:space="preserve">      </w: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  <w:r>
      <w:t xml:space="preserve">                                                              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t xml:space="preserve">                                          </w:t>
    </w: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5_ch" w:type="character">
    <w:name w:val="Normal"/>
    <w:link w:val="Style_5"/>
    <w:rPr>
      <w:rFonts w:ascii="Arial" w:hAnsi="Arial"/>
      <w:sz w:val="24"/>
    </w:rPr>
  </w:style>
  <w:style w:styleId="Style_6" w:type="paragraph">
    <w:name w:val="HTML Variable"/>
    <w:link w:val="Style_6_ch"/>
    <w:rPr>
      <w:rFonts w:ascii="Arial" w:hAnsi="Arial"/>
      <w:color w:val="0000FF"/>
      <w:sz w:val="24"/>
      <w:u w:val="none"/>
    </w:rPr>
  </w:style>
  <w:style w:styleId="Style_6_ch" w:type="character">
    <w:name w:val="HTML Variable"/>
    <w:link w:val="Style_6"/>
    <w:rPr>
      <w:rFonts w:ascii="Arial" w:hAnsi="Arial"/>
      <w:color w:val="0000FF"/>
      <w:sz w:val="24"/>
      <w:u w:val="none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ConsPlusCell"/>
    <w:link w:val="Style_10_ch"/>
    <w:pPr>
      <w:widowControl w:val="0"/>
      <w:ind/>
    </w:pPr>
    <w:rPr>
      <w:rFonts w:ascii="Arial" w:hAnsi="Arial"/>
    </w:rPr>
  </w:style>
  <w:style w:styleId="Style_10_ch" w:type="character">
    <w:name w:val="ConsPlusCell"/>
    <w:link w:val="Style_10"/>
    <w:rPr>
      <w:rFonts w:ascii="Arial" w:hAnsi="Arial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Table!Таблица"/>
    <w:link w:val="Style_13_ch"/>
    <w:rPr>
      <w:rFonts w:ascii="Arial" w:hAnsi="Arial"/>
      <w:sz w:val="24"/>
    </w:rPr>
  </w:style>
  <w:style w:styleId="Style_13_ch" w:type="character">
    <w:name w:val="Table!Таблица"/>
    <w:link w:val="Style_13"/>
    <w:rPr>
      <w:rFonts w:ascii="Arial" w:hAnsi="Arial"/>
      <w:sz w:val="24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link w:val="Style_15_ch"/>
    <w:uiPriority w:val="9"/>
    <w:qFormat/>
    <w:pPr>
      <w:widowControl w:val="1"/>
      <w:ind/>
      <w:outlineLvl w:val="2"/>
    </w:pPr>
    <w:rPr>
      <w:b w:val="1"/>
      <w:sz w:val="26"/>
    </w:rPr>
  </w:style>
  <w:style w:styleId="Style_15_ch" w:type="character">
    <w:name w:val="heading 3"/>
    <w:basedOn w:val="Style_5_ch"/>
    <w:link w:val="Style_15"/>
    <w:rPr>
      <w:b w:val="1"/>
      <w:sz w:val="26"/>
    </w:rPr>
  </w:style>
  <w:style w:styleId="Style_16" w:type="paragraph">
    <w:name w:val="Balloon Text"/>
    <w:basedOn w:val="Style_5"/>
    <w:link w:val="Style_16_ch"/>
    <w:rPr>
      <w:sz w:val="16"/>
    </w:rPr>
  </w:style>
  <w:style w:styleId="Style_16_ch" w:type="character">
    <w:name w:val="Balloon Text"/>
    <w:basedOn w:val="Style_5_ch"/>
    <w:link w:val="Style_16"/>
    <w:rPr>
      <w:sz w:val="16"/>
    </w:rPr>
  </w:style>
  <w:style w:styleId="Style_4" w:type="paragraph">
    <w:name w:val="Table!"/>
    <w:next w:val="Style_13"/>
    <w:link w:val="Style_4_ch"/>
    <w:pPr>
      <w:widowControl w:val="1"/>
      <w:ind/>
      <w:jc w:val="center"/>
    </w:pPr>
    <w:rPr>
      <w:rFonts w:ascii="Arial" w:hAnsi="Arial"/>
      <w:b w:val="1"/>
      <w:sz w:val="24"/>
    </w:rPr>
  </w:style>
  <w:style w:styleId="Style_4_ch" w:type="character">
    <w:name w:val="Table!"/>
    <w:link w:val="Style_4"/>
    <w:rPr>
      <w:rFonts w:ascii="Arial" w:hAnsi="Arial"/>
      <w:b w:val="1"/>
      <w:sz w:val="24"/>
    </w:rPr>
  </w:style>
  <w:style w:styleId="Style_17" w:type="paragraph">
    <w:name w:val="annotation text"/>
    <w:basedOn w:val="Style_5"/>
    <w:link w:val="Style_17_ch"/>
    <w:rPr>
      <w:rFonts w:ascii="Courier" w:hAnsi="Courier"/>
      <w:sz w:val="22"/>
    </w:rPr>
  </w:style>
  <w:style w:styleId="Style_17_ch" w:type="character">
    <w:name w:val="annotation text"/>
    <w:basedOn w:val="Style_5_ch"/>
    <w:link w:val="Style_17"/>
    <w:rPr>
      <w:rFonts w:ascii="Courier" w:hAnsi="Courier"/>
      <w:sz w:val="22"/>
    </w:rPr>
  </w:style>
  <w:style w:styleId="Style_18" w:type="paragraph">
    <w:name w:val="ConsPlusNormal"/>
    <w:link w:val="Style_18_ch"/>
    <w:pPr>
      <w:widowControl w:val="0"/>
      <w:ind w:firstLine="720"/>
    </w:pPr>
    <w:rPr>
      <w:rFonts w:ascii="Arial" w:hAnsi="Arial"/>
    </w:rPr>
  </w:style>
  <w:style w:styleId="Style_18_ch" w:type="character">
    <w:name w:val="ConsPlusNormal"/>
    <w:link w:val="Style_18"/>
    <w:rPr>
      <w:rFonts w:ascii="Arial" w:hAnsi="Arial"/>
    </w:rPr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basedOn w:val="Style_5"/>
    <w:next w:val="Style_5"/>
    <w:link w:val="Style_20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0_ch" w:type="character">
    <w:name w:val="heading 5"/>
    <w:basedOn w:val="Style_5_ch"/>
    <w:link w:val="Style_20"/>
    <w:rPr>
      <w:rFonts w:ascii="Calibri" w:hAnsi="Calibri"/>
      <w:b w:val="1"/>
      <w:i w:val="1"/>
      <w:sz w:val="26"/>
    </w:rPr>
  </w:style>
  <w:style w:styleId="Style_21" w:type="paragraph">
    <w:name w:val="heading 1"/>
    <w:basedOn w:val="Style_5"/>
    <w:next w:val="Style_5"/>
    <w:link w:val="Style_21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1_ch" w:type="character">
    <w:name w:val="heading 1"/>
    <w:basedOn w:val="Style_5_ch"/>
    <w:link w:val="Style_21"/>
    <w:rPr>
      <w:b w:val="1"/>
      <w:sz w:val="32"/>
    </w:rPr>
  </w:style>
  <w:style w:styleId="Style_22" w:type="paragraph">
    <w:name w:val="Body Text"/>
    <w:basedOn w:val="Style_5"/>
    <w:link w:val="Style_22_ch"/>
  </w:style>
  <w:style w:styleId="Style_22_ch" w:type="character">
    <w:name w:val="Body Text"/>
    <w:basedOn w:val="Style_5_ch"/>
    <w:link w:val="Style_22"/>
  </w:style>
  <w:style w:styleId="Style_23" w:type="paragraph">
    <w:name w:val="List Paragraph"/>
    <w:basedOn w:val="Style_5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5_ch"/>
    <w:link w:val="Style_23"/>
  </w:style>
  <w:style w:styleId="Style_24" w:type="paragraph">
    <w:name w:val="Hyperlink"/>
    <w:link w:val="Style_24_ch"/>
    <w:rPr>
      <w:color w:val="0000FF"/>
      <w:u w:val="none"/>
    </w:rPr>
  </w:style>
  <w:style w:styleId="Style_24_ch" w:type="character">
    <w:name w:val="Hyperlink"/>
    <w:link w:val="Style_24"/>
    <w:rPr>
      <w:color w:val="0000FF"/>
      <w:u w:val="non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Application!Приложение"/>
    <w:link w:val="Style_29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29_ch" w:type="character">
    <w:name w:val="Application!Приложение"/>
    <w:link w:val="Style_29"/>
    <w:rPr>
      <w:rFonts w:ascii="Arial" w:hAnsi="Arial"/>
      <w:b w:val="1"/>
      <w:sz w:val="32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itle!Название НПА"/>
    <w:basedOn w:val="Style_5"/>
    <w:link w:val="Style_31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31_ch" w:type="character">
    <w:name w:val="Title!Название НПА"/>
    <w:basedOn w:val="Style_5_ch"/>
    <w:link w:val="Style_31"/>
    <w:rPr>
      <w:b w:val="1"/>
      <w:sz w:val="32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Nonformat"/>
    <w:link w:val="Style_33_ch"/>
    <w:pPr>
      <w:widowControl w:val="0"/>
      <w:ind/>
    </w:pPr>
    <w:rPr>
      <w:rFonts w:ascii="Courier New" w:hAnsi="Courier New"/>
    </w:rPr>
  </w:style>
  <w:style w:styleId="Style_33_ch" w:type="character">
    <w:name w:val="ConsPlusNonformat"/>
    <w:link w:val="Style_33"/>
    <w:rPr>
      <w:rFonts w:ascii="Courier New" w:hAnsi="Courier New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5" w:type="paragraph">
    <w:name w:val="Title"/>
    <w:basedOn w:val="Style_5"/>
    <w:link w:val="Style_35_ch"/>
    <w:uiPriority w:val="10"/>
    <w:qFormat/>
    <w:pPr>
      <w:widowControl w:val="1"/>
      <w:ind/>
      <w:jc w:val="center"/>
    </w:pPr>
    <w:rPr>
      <w:rFonts w:ascii="Cambria" w:hAnsi="Cambria"/>
      <w:b w:val="1"/>
      <w:sz w:val="32"/>
    </w:rPr>
  </w:style>
  <w:style w:styleId="Style_35_ch" w:type="character">
    <w:name w:val="Title"/>
    <w:basedOn w:val="Style_5_ch"/>
    <w:link w:val="Style_35"/>
    <w:rPr>
      <w:rFonts w:ascii="Cambria" w:hAnsi="Cambria"/>
      <w:b w:val="1"/>
      <w:sz w:val="32"/>
    </w:rPr>
  </w:style>
  <w:style w:styleId="Style_36" w:type="paragraph">
    <w:name w:val="heading 4"/>
    <w:basedOn w:val="Style_5"/>
    <w:link w:val="Style_36_ch"/>
    <w:uiPriority w:val="9"/>
    <w:qFormat/>
    <w:pPr>
      <w:widowControl w:val="1"/>
      <w:ind/>
      <w:outlineLvl w:val="3"/>
    </w:pPr>
    <w:rPr>
      <w:b w:val="1"/>
      <w:sz w:val="28"/>
    </w:rPr>
  </w:style>
  <w:style w:styleId="Style_36_ch" w:type="character">
    <w:name w:val="heading 4"/>
    <w:basedOn w:val="Style_5_ch"/>
    <w:link w:val="Style_36"/>
    <w:rPr>
      <w:b w:val="1"/>
      <w:sz w:val="28"/>
    </w:rPr>
  </w:style>
  <w:style w:styleId="Style_37" w:type="paragraph">
    <w:name w:val="heading 2"/>
    <w:basedOn w:val="Style_5"/>
    <w:link w:val="Style_37_ch"/>
    <w:uiPriority w:val="9"/>
    <w:qFormat/>
    <w:pPr>
      <w:widowControl w:val="1"/>
      <w:ind/>
      <w:jc w:val="center"/>
      <w:outlineLvl w:val="1"/>
    </w:pPr>
    <w:rPr>
      <w:b w:val="1"/>
      <w:sz w:val="28"/>
    </w:rPr>
  </w:style>
  <w:style w:styleId="Style_37_ch" w:type="character">
    <w:name w:val="heading 2"/>
    <w:basedOn w:val="Style_5_ch"/>
    <w:link w:val="Style_37"/>
    <w:rPr>
      <w:b w:val="1"/>
      <w:sz w:val="28"/>
    </w:rPr>
  </w:style>
  <w:style w:styleId="Style_38" w:type="table">
    <w:name w:val="Table List 3"/>
    <w:basedOn w:val="Style_3"/>
    <w:rPr>
      <w:rFonts w:ascii="Arial" w:hAnsi="Arial"/>
    </w:rPr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Сетка таблицы1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footer8.xml" Type="http://schemas.openxmlformats.org/officeDocument/2006/relationships/footer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2026-03-27T08:04:51Z</dcterms:created>
  <dcterms:modified xsi:type="dcterms:W3CDTF">2026-03-27T08:04:51Z</dcterms:modified>
</cp:coreProperties>
</file>