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 w:firstLine="0"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</w:p>
    <w:p w14:paraId="03000000">
      <w:pPr>
        <w:ind w:firstLine="0" w:left="50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Крапивинского муниципального </w:t>
      </w:r>
      <w:r>
        <w:rPr>
          <w:rFonts w:ascii="Times New Roman" w:hAnsi="Times New Roman"/>
        </w:rPr>
        <w:t>округа</w:t>
      </w:r>
    </w:p>
    <w:p w14:paraId="04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</w:p>
    <w:p w14:paraId="05000000">
      <w:pPr>
        <w:ind w:firstLine="0" w:left="5040"/>
        <w:jc w:val="left"/>
        <w:rPr>
          <w:rFonts w:ascii="Times New Roman" w:hAnsi="Times New Roman"/>
        </w:rPr>
      </w:pPr>
    </w:p>
    <w:p w14:paraId="06000000">
      <w:pPr>
        <w:pStyle w:val="Style_1"/>
        <w:numPr>
          <w:ilvl w:val="0"/>
          <w:numId w:val="1"/>
        </w:numPr>
        <w:tabs>
          <w:tab w:leader="none" w:pos="709" w:val="left"/>
        </w:tabs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Ресурсное обеспечение реализации муниципальной программы</w:t>
      </w:r>
    </w:p>
    <w:p w14:paraId="07000000">
      <w:pPr>
        <w:rPr>
          <w:rFonts w:ascii="Times New Roman" w:hAnsi="Times New Roman"/>
          <w:b w:val="1"/>
        </w:rPr>
      </w:pPr>
    </w:p>
    <w:tbl>
      <w:tblPr>
        <w:tblStyle w:val="Style_2"/>
        <w:tblpPr w:bottomFromText="0" w:horzAnchor="margin" w:leftFromText="180" w:rightFromText="180" w:tblpX="-911" w:tblpY="169" w:topFromText="0" w:vertAnchor="text"/>
        <w:tblW w:type="auto" w:w="0"/>
        <w:tblLayout w:type="fixed"/>
        <w:tblCellMar>
          <w:left w:type="dxa" w:w="75"/>
          <w:right w:type="dxa" w:w="75"/>
        </w:tblCellMar>
      </w:tblPr>
      <w:tblGrid>
        <w:gridCol w:w="2903"/>
        <w:gridCol w:w="2417"/>
        <w:gridCol w:w="1134"/>
        <w:gridCol w:w="1134"/>
        <w:gridCol w:w="1134"/>
        <w:gridCol w:w="992"/>
        <w:gridCol w:w="2126"/>
      </w:tblGrid>
      <w:tr>
        <w:trPr>
          <w:trHeight w:hRule="atLeast" w:val="480"/>
        </w:trPr>
        <w:tc>
          <w:tcPr>
            <w:tcW w:type="dxa" w:w="290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8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09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0A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 мероприятия</w:t>
            </w:r>
          </w:p>
        </w:tc>
        <w:tc>
          <w:tcPr>
            <w:tcW w:type="dxa" w:w="241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B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Источник финансирования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C000000">
            <w:pPr>
              <w:pStyle w:val="Style_3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5386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D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Объем финансовых ресурсов,</w:t>
            </w:r>
          </w:p>
          <w:p w14:paraId="0E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b w:val="0"/>
              </w:rPr>
              <w:t>тыс. рублей</w:t>
            </w:r>
          </w:p>
        </w:tc>
      </w:tr>
      <w:tr>
        <w:trPr>
          <w:trHeight w:hRule="atLeast" w:val="617"/>
        </w:trPr>
        <w:tc>
          <w:tcPr>
            <w:tcW w:type="dxa" w:w="290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14:paraId="10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12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1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1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>
        <w:tc>
          <w:tcPr>
            <w:tcW w:type="dxa" w:w="2903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</w:tr>
      <w:tr>
        <w:trPr>
          <w:trHeight w:hRule="atLeast" w:val="197"/>
        </w:trPr>
        <w:tc>
          <w:tcPr>
            <w:tcW w:type="dxa" w:w="2903"/>
            <w:vMerge w:val="restart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F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>
              <w:rPr>
                <w:rFonts w:ascii="Times New Roman" w:hAnsi="Times New Roman"/>
                <w:spacing w:val="-4"/>
              </w:rPr>
              <w:t>а 2023-202</w:t>
            </w:r>
            <w:r>
              <w:rPr>
                <w:rFonts w:ascii="Times New Roman" w:hAnsi="Times New Roman"/>
                <w:spacing w:val="-4"/>
              </w:rPr>
              <w:t>7</w:t>
            </w:r>
            <w:r>
              <w:rPr>
                <w:rFonts w:ascii="Times New Roman" w:hAnsi="Times New Roman"/>
                <w:spacing w:val="-4"/>
              </w:rPr>
              <w:t xml:space="preserve"> годы</w:t>
            </w:r>
          </w:p>
          <w:p w14:paraId="20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  <w:r>
              <w:rPr>
                <w:rFonts w:ascii="Times New Roman" w:hAnsi="Times New Roman"/>
                <w:b w:val="1"/>
              </w:rPr>
              <w:t>401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6039,2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5300,0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5200,0</w:t>
            </w:r>
          </w:p>
        </w:tc>
      </w:tr>
      <w:tr>
        <w:trPr>
          <w:trHeight w:hRule="atLeast" w:val="225"/>
        </w:trPr>
        <w:tc>
          <w:tcPr>
            <w:tcW w:type="dxa" w:w="2903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Крапивинского муниципального округа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>901</w:t>
            </w:r>
            <w:r>
              <w:rPr>
                <w:rFonts w:ascii="Times New Roman" w:hAnsi="Times New Roman"/>
                <w:b w:val="1"/>
              </w:rPr>
              <w:t>,</w:t>
            </w: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4539,2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3700,0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3700,0</w:t>
            </w:r>
          </w:p>
        </w:tc>
      </w:tr>
      <w:tr>
        <w:trPr>
          <w:trHeight w:hRule="atLeast" w:val="390"/>
        </w:trPr>
        <w:tc>
          <w:tcPr>
            <w:tcW w:type="dxa" w:w="2903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40"/>
        </w:trPr>
        <w:tc>
          <w:tcPr>
            <w:tcW w:type="dxa" w:w="2903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99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2126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</w:tr>
      <w:tr>
        <w:trPr>
          <w:trHeight w:hRule="atLeast" w:val="197"/>
        </w:trPr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1.Мероприятие:</w:t>
            </w:r>
          </w:p>
          <w:p w14:paraId="3A00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 массовой информации</w:t>
            </w:r>
          </w:p>
        </w:tc>
        <w:tc>
          <w:tcPr>
            <w:tcW w:type="dxa" w:w="2417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2681,6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</w:tr>
      <w:tr>
        <w:trPr>
          <w:trHeight w:hRule="atLeast" w:val="281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Крапивинского муниципального округа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1181,6</w:t>
            </w:r>
          </w:p>
        </w:tc>
        <w:tc>
          <w:tcPr>
            <w:tcW w:type="dxa" w:w="11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type="dxa" w:w="992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type="dxa" w:w="2126"/>
            <w:tcBorders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  <w:tr>
        <w:trPr>
          <w:trHeight w:hRule="atLeast" w:val="375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82"/>
        </w:trPr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992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  <w:tc>
          <w:tcPr>
            <w:tcW w:type="dxa" w:w="2126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1500,0</w:t>
            </w:r>
          </w:p>
        </w:tc>
      </w:tr>
      <w:tr>
        <w:trPr>
          <w:trHeight w:hRule="atLeast" w:val="270"/>
        </w:trPr>
        <w:tc>
          <w:tcPr>
            <w:tcW w:type="dxa" w:w="2903"/>
            <w:vMerge w:val="restart"/>
            <w:tcMar>
              <w:left w:type="dxa" w:w="75"/>
              <w:right w:type="dxa" w:w="75"/>
            </w:tcMar>
          </w:tcPr>
          <w:p w14:paraId="5300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2.Мероприятие:</w:t>
            </w:r>
          </w:p>
          <w:p w14:paraId="54000000">
            <w:pPr>
              <w:ind w:firstLine="0"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  <w:p w14:paraId="5500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2417"/>
            <w:tcMar>
              <w:left w:type="dxa" w:w="75"/>
              <w:right w:type="dxa" w:w="75"/>
            </w:tcMar>
          </w:tcPr>
          <w:p w14:paraId="5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5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3357,6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type="dxa" w:w="992"/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</w:tr>
      <w:tr>
        <w:trPr>
          <w:trHeight w:hRule="atLeast" w:val="231"/>
        </w:trPr>
        <w:tc>
          <w:tcPr>
            <w:tcW w:type="dxa" w:w="290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Mar>
              <w:left w:type="dxa" w:w="75"/>
              <w:right w:type="dxa" w:w="75"/>
            </w:tcMar>
          </w:tcPr>
          <w:p w14:paraId="5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Крапивинского муниципального округа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5D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5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3357,6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5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type="dxa" w:w="992"/>
            <w:tcMar>
              <w:left w:type="dxa" w:w="75"/>
              <w:right w:type="dxa" w:w="75"/>
            </w:tcMar>
          </w:tcPr>
          <w:p w14:paraId="6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  <w:p w14:paraId="6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6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</w:t>
            </w:r>
          </w:p>
        </w:tc>
      </w:tr>
      <w:tr>
        <w:trPr>
          <w:trHeight w:hRule="atLeast" w:val="345"/>
        </w:trPr>
        <w:tc>
          <w:tcPr>
            <w:tcW w:type="dxa" w:w="290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Mar>
              <w:left w:type="dxa" w:w="75"/>
              <w:right w:type="dxa" w:w="75"/>
            </w:tcMar>
          </w:tcPr>
          <w:p w14:paraId="6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6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6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92"/>
            <w:tcMar>
              <w:left w:type="dxa" w:w="75"/>
              <w:right w:type="dxa" w:w="75"/>
            </w:tcMar>
          </w:tcPr>
          <w:p w14:paraId="6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6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35"/>
        </w:trPr>
        <w:tc>
          <w:tcPr>
            <w:tcW w:type="dxa" w:w="2903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417"/>
            <w:tcMar>
              <w:left w:type="dxa" w:w="75"/>
              <w:right w:type="dxa" w:w="75"/>
            </w:tcMar>
          </w:tcPr>
          <w:p w14:paraId="6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и физических лиц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6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Mar>
              <w:left w:type="dxa" w:w="75"/>
              <w:right w:type="dxa" w:w="75"/>
            </w:tcMar>
          </w:tcPr>
          <w:p w14:paraId="6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92"/>
            <w:tcMar>
              <w:left w:type="dxa" w:w="75"/>
              <w:right w:type="dxa" w:w="75"/>
            </w:tcMar>
          </w:tcPr>
          <w:p w14:paraId="6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126"/>
            <w:tcMar>
              <w:left w:type="dxa" w:w="75"/>
              <w:right w:type="dxa" w:w="75"/>
            </w:tcMar>
          </w:tcPr>
          <w:p w14:paraId="6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6F000000">
      <w:pPr>
        <w:ind/>
        <w:jc w:val="right"/>
        <w:rPr>
          <w:rFonts w:ascii="Times New Roman" w:hAnsi="Times New Roman"/>
        </w:rPr>
      </w:pPr>
    </w:p>
    <w:p w14:paraId="70000000">
      <w:pPr>
        <w:ind/>
        <w:jc w:val="right"/>
        <w:rPr>
          <w:rFonts w:ascii="Times New Roman" w:hAnsi="Times New Roman"/>
        </w:rPr>
      </w:pPr>
    </w:p>
    <w:p w14:paraId="71000000">
      <w:pPr>
        <w:ind/>
        <w:jc w:val="right"/>
        <w:rPr>
          <w:rFonts w:ascii="Times New Roman" w:hAnsi="Times New Roman"/>
        </w:rPr>
      </w:pPr>
    </w:p>
    <w:p w14:paraId="72000000">
      <w:pPr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Style w:val="Style_2"/>
        <w:tblpPr w:bottomFromText="0" w:horzAnchor="margin" w:leftFromText="180" w:rightFromText="180" w:tblpX="-627" w:tblpY="139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3051"/>
        <w:gridCol w:w="2126"/>
        <w:gridCol w:w="1276"/>
        <w:gridCol w:w="851"/>
        <w:gridCol w:w="993"/>
        <w:gridCol w:w="850"/>
        <w:gridCol w:w="851"/>
        <w:gridCol w:w="1058"/>
      </w:tblGrid>
      <w:tr>
        <w:trPr>
          <w:trHeight w:hRule="atLeast" w:val="700"/>
        </w:trPr>
        <w:tc>
          <w:tcPr>
            <w:tcW w:type="dxa" w:w="3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  <w:p w14:paraId="74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муниципальной программы,</w:t>
            </w:r>
          </w:p>
          <w:p w14:paraId="75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подпрограммы,</w:t>
            </w:r>
          </w:p>
          <w:p w14:paraId="76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мероприятия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</w:rPr>
              <w:t>целевого</w:t>
            </w:r>
          </w:p>
          <w:p w14:paraId="78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показателя (индикатора)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Единица</w:t>
            </w:r>
          </w:p>
          <w:p w14:paraId="7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7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Плановое значение </w:t>
            </w:r>
            <w:r>
              <w:rPr>
                <w:rFonts w:ascii="Times New Roman" w:hAnsi="Times New Roman"/>
              </w:rPr>
              <w:t>целевого</w:t>
            </w:r>
          </w:p>
          <w:p w14:paraId="7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 (индикатора)</w:t>
            </w:r>
          </w:p>
          <w:p w14:paraId="7E000000">
            <w:pPr>
              <w:tabs>
                <w:tab w:leader="none" w:pos="1830" w:val="left"/>
              </w:tabs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838"/>
        </w:trP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2023</w:t>
            </w:r>
          </w:p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2024</w:t>
            </w:r>
          </w:p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</w:t>
            </w:r>
          </w:p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2026</w:t>
            </w:r>
          </w:p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2027 </w:t>
            </w:r>
          </w:p>
          <w:p w14:paraId="88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hRule="atLeast" w:val="480"/>
        </w:trP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>
              <w:rPr>
                <w:rFonts w:ascii="Times New Roman" w:hAnsi="Times New Roman"/>
                <w:spacing w:val="-4"/>
              </w:rPr>
              <w:t>а 2023-202</w:t>
            </w:r>
            <w:r>
              <w:rPr>
                <w:rFonts w:ascii="Times New Roman" w:hAnsi="Times New Roman"/>
                <w:spacing w:val="-4"/>
              </w:rPr>
              <w:t>7</w:t>
            </w:r>
            <w:r>
              <w:rPr>
                <w:rFonts w:ascii="Times New Roman" w:hAnsi="Times New Roman"/>
                <w:spacing w:val="-4"/>
              </w:rPr>
              <w:t xml:space="preserve"> годы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эффективности муниципальной программы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1.Мероприятие:</w:t>
            </w:r>
          </w:p>
          <w:p w14:paraId="9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Тираж </w:t>
            </w:r>
            <w:r>
              <w:rPr>
                <w:rFonts w:ascii="Times New Roman" w:hAnsi="Times New Roman"/>
              </w:rPr>
              <w:t>Крапивинской</w:t>
            </w:r>
            <w:r>
              <w:rPr>
                <w:rFonts w:ascii="Times New Roman" w:hAnsi="Times New Roman"/>
              </w:rPr>
              <w:t xml:space="preserve"> газеты «</w:t>
            </w:r>
            <w:r>
              <w:rPr>
                <w:rFonts w:ascii="Times New Roman" w:hAnsi="Times New Roman"/>
              </w:rPr>
              <w:t>Тайдонские</w:t>
            </w:r>
            <w:r>
              <w:rPr>
                <w:rFonts w:ascii="Times New Roman" w:hAnsi="Times New Roman"/>
              </w:rPr>
              <w:t xml:space="preserve"> родники»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2300</w:t>
            </w:r>
          </w:p>
        </w:tc>
      </w:tr>
      <w:tr>
        <w:trPr>
          <w:trHeight w:hRule="atLeast" w:val="320"/>
        </w:trP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Мероприятие: </w:t>
            </w:r>
          </w:p>
          <w:p w14:paraId="A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муниципального задания, процентов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type="dxa" w:w="1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</w:tr>
    </w:tbl>
    <w:p w14:paraId="AB000000">
      <w:pPr>
        <w:ind w:firstLine="0" w:left="0"/>
        <w:jc w:val="center"/>
        <w:rPr>
          <w:rFonts w:ascii="Times New Roman" w:hAnsi="Times New Roman"/>
          <w:b w:val="1"/>
        </w:rPr>
      </w:pPr>
    </w:p>
    <w:sectPr>
      <w:type w:val="continuous"/>
      <w:pgSz w:h="16838" w:orient="portrait" w:w="11905"/>
      <w:pgMar w:bottom="1134" w:footer="720" w:gutter="0" w:header="720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5_ch" w:type="character">
    <w:name w:val="Normal"/>
    <w:link w:val="Style_5"/>
    <w:rPr>
      <w:rFonts w:ascii="Arial" w:hAnsi="Arial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text"/>
    <w:basedOn w:val="Style_5"/>
    <w:link w:val="Style_7_ch"/>
    <w:rPr>
      <w:rFonts w:ascii="Courier" w:hAnsi="Courier"/>
      <w:sz w:val="22"/>
    </w:rPr>
  </w:style>
  <w:style w:styleId="Style_7_ch" w:type="character">
    <w:name w:val="annotation text"/>
    <w:basedOn w:val="Style_5_ch"/>
    <w:link w:val="Style_7"/>
    <w:rPr>
      <w:rFonts w:ascii="Courier" w:hAnsi="Courier"/>
      <w:sz w:val="22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Application!Приложение"/>
    <w:link w:val="Style_1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0_ch" w:type="character">
    <w:name w:val="Application!Приложение"/>
    <w:link w:val="Style_10"/>
    <w:rPr>
      <w:rFonts w:ascii="Arial" w:hAnsi="Arial"/>
      <w:b w:val="1"/>
      <w:sz w:val="32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link w:val="Style_13_ch"/>
    <w:uiPriority w:val="9"/>
    <w:qFormat/>
    <w:pPr>
      <w:ind/>
      <w:outlineLvl w:val="2"/>
    </w:pPr>
    <w:rPr>
      <w:b w:val="1"/>
      <w:sz w:val="26"/>
    </w:rPr>
  </w:style>
  <w:style w:styleId="Style_13_ch" w:type="character">
    <w:name w:val="heading 3"/>
    <w:basedOn w:val="Style_5_ch"/>
    <w:link w:val="Style_13"/>
    <w:rPr>
      <w:b w:val="1"/>
      <w:sz w:val="26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Balloon Text"/>
    <w:basedOn w:val="Style_5"/>
    <w:link w:val="Style_15_ch"/>
    <w:rPr>
      <w:sz w:val="16"/>
    </w:rPr>
  </w:style>
  <w:style w:styleId="Style_15_ch" w:type="character">
    <w:name w:val="Balloon Text"/>
    <w:basedOn w:val="Style_5_ch"/>
    <w:link w:val="Style_15"/>
    <w:rPr>
      <w:sz w:val="16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Абзац списка1"/>
    <w:basedOn w:val="Style_5"/>
    <w:link w:val="Style_1_ch"/>
    <w:pPr>
      <w:ind w:firstLine="0" w:left="720"/>
      <w:contextualSpacing w:val="1"/>
    </w:pPr>
  </w:style>
  <w:style w:styleId="Style_1_ch" w:type="character">
    <w:name w:val="Абзац списка1"/>
    <w:basedOn w:val="Style_5_ch"/>
    <w:link w:val="Style_1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ody Text"/>
    <w:basedOn w:val="Style_5"/>
    <w:link w:val="Style_18_ch"/>
  </w:style>
  <w:style w:styleId="Style_18_ch" w:type="character">
    <w:name w:val="Body Text"/>
    <w:basedOn w:val="Style_5_ch"/>
    <w:link w:val="Style_18"/>
  </w:style>
  <w:style w:styleId="Style_19" w:type="paragraph">
    <w:name w:val="heading 1"/>
    <w:basedOn w:val="Style_5"/>
    <w:next w:val="Style_5"/>
    <w:link w:val="Style_19_ch"/>
    <w:uiPriority w:val="9"/>
    <w:qFormat/>
    <w:pPr>
      <w:ind/>
      <w:jc w:val="center"/>
      <w:outlineLvl w:val="0"/>
    </w:pPr>
    <w:rPr>
      <w:b w:val="1"/>
      <w:sz w:val="32"/>
    </w:rPr>
  </w:style>
  <w:style w:styleId="Style_19_ch" w:type="character">
    <w:name w:val="heading 1"/>
    <w:basedOn w:val="Style_5_ch"/>
    <w:link w:val="Style_19"/>
    <w:rPr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!Название НПА"/>
    <w:basedOn w:val="Style_5"/>
    <w:link w:val="Style_30_ch"/>
    <w:pPr>
      <w:spacing w:after="60" w:before="240"/>
      <w:ind/>
      <w:jc w:val="center"/>
      <w:outlineLvl w:val="0"/>
    </w:pPr>
    <w:rPr>
      <w:b w:val="1"/>
      <w:sz w:val="32"/>
    </w:rPr>
  </w:style>
  <w:style w:styleId="Style_30_ch" w:type="character">
    <w:name w:val="Title!Название НПА"/>
    <w:basedOn w:val="Style_5_ch"/>
    <w:link w:val="Style_30"/>
    <w:rPr>
      <w:b w:val="1"/>
      <w:sz w:val="32"/>
    </w:rPr>
  </w:style>
  <w:style w:styleId="Style_31" w:type="paragraph">
    <w:name w:val="Title"/>
    <w:basedOn w:val="Style_5"/>
    <w:link w:val="Style_31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1_ch" w:type="character">
    <w:name w:val="Title"/>
    <w:basedOn w:val="Style_5_ch"/>
    <w:link w:val="Style_31"/>
    <w:rPr>
      <w:rFonts w:ascii="Cambria" w:hAnsi="Cambria"/>
      <w:b w:val="1"/>
      <w:sz w:val="32"/>
    </w:rPr>
  </w:style>
  <w:style w:styleId="Style_32" w:type="paragraph">
    <w:name w:val="heading 4"/>
    <w:basedOn w:val="Style_5"/>
    <w:link w:val="Style_32_ch"/>
    <w:uiPriority w:val="9"/>
    <w:qFormat/>
    <w:pPr>
      <w:ind/>
      <w:outlineLvl w:val="3"/>
    </w:pPr>
    <w:rPr>
      <w:b w:val="1"/>
      <w:sz w:val="28"/>
    </w:rPr>
  </w:style>
  <w:style w:styleId="Style_32_ch" w:type="character">
    <w:name w:val="heading 4"/>
    <w:basedOn w:val="Style_5_ch"/>
    <w:link w:val="Style_32"/>
    <w:rPr>
      <w:b w:val="1"/>
      <w:sz w:val="28"/>
    </w:rPr>
  </w:style>
  <w:style w:styleId="Style_33" w:type="paragraph">
    <w:name w:val="HTML Variable"/>
    <w:link w:val="Style_33_ch"/>
    <w:rPr>
      <w:rFonts w:ascii="Arial" w:hAnsi="Arial"/>
      <w:color w:val="0000FF"/>
      <w:sz w:val="24"/>
      <w:u w:val="none"/>
    </w:rPr>
  </w:style>
  <w:style w:styleId="Style_33_ch" w:type="character">
    <w:name w:val="HTML Variable"/>
    <w:link w:val="Style_33"/>
    <w:rPr>
      <w:rFonts w:ascii="Arial" w:hAnsi="Arial"/>
      <w:color w:val="0000FF"/>
      <w:sz w:val="24"/>
      <w:u w:val="none"/>
    </w:rPr>
  </w:style>
  <w:style w:styleId="Style_34" w:type="paragraph">
    <w:name w:val="ConsPlusCell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Cell"/>
    <w:link w:val="Style_34"/>
    <w:rPr>
      <w:rFonts w:ascii="Arial" w:hAnsi="Arial"/>
    </w:rPr>
  </w:style>
  <w:style w:styleId="Style_35" w:type="paragraph">
    <w:name w:val="heading 2"/>
    <w:basedOn w:val="Style_5"/>
    <w:link w:val="Style_35_ch"/>
    <w:uiPriority w:val="9"/>
    <w:qFormat/>
    <w:pPr>
      <w:ind/>
      <w:jc w:val="center"/>
      <w:outlineLvl w:val="1"/>
    </w:pPr>
    <w:rPr>
      <w:b w:val="1"/>
      <w:sz w:val="28"/>
    </w:rPr>
  </w:style>
  <w:style w:styleId="Style_35_ch" w:type="character">
    <w:name w:val="heading 2"/>
    <w:basedOn w:val="Style_5_ch"/>
    <w:link w:val="Style_35"/>
    <w:rPr>
      <w:b w:val="1"/>
      <w:sz w:val="28"/>
    </w:rPr>
  </w:style>
  <w:style w:styleId="Style_36" w:type="table">
    <w:name w:val="Table List 3"/>
    <w:basedOn w:val="Style_2"/>
    <w:rPr>
      <w:rFonts w:ascii="Arial" w:hAnsi="Arial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2024-12-28T02:46:12Z</dcterms:modified>
</cp:coreProperties>
</file>