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</w:pPr>
    </w:p>
    <w:tbl>
      <w:tblPr>
        <w:tblStyle w:val="Style_3"/>
        <w:tblW w:type="auto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926"/>
        <w:gridCol w:w="4926"/>
      </w:tblGrid>
      <w:tr>
        <w:tc>
          <w:tcPr>
            <w:tcW w:type="dxa" w:w="492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4000000">
            <w:pPr>
              <w:pStyle w:val="Style_2"/>
            </w:pPr>
          </w:p>
        </w:tc>
        <w:tc>
          <w:tcPr>
            <w:tcW w:type="dxa" w:w="492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Приложение к постановлению администрации Крапивинского муниципального округа </w:t>
            </w:r>
          </w:p>
          <w:p w14:paraId="06000000">
            <w:r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>30.06.</w:t>
            </w:r>
            <w:r>
              <w:rPr>
                <w:rFonts w:ascii="Times New Roman" w:hAnsi="Times New Roman"/>
                <w:sz w:val="24"/>
              </w:rPr>
              <w:t>2026</w:t>
            </w:r>
            <w:r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663</w:t>
            </w:r>
            <w:bookmarkStart w:id="1" w:name="_GoBack"/>
            <w:bookmarkEnd w:id="1"/>
          </w:p>
        </w:tc>
      </w:tr>
    </w:tbl>
    <w:p w14:paraId="07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ПОРЯДОК ИСПОЛЬЗОВАНИЯ БЮДЖЕТНЫХ </w:t>
      </w:r>
      <w:r>
        <w:rPr>
          <w:rFonts w:ascii="Times New Roman" w:hAnsi="Times New Roman"/>
          <w:b w:val="1"/>
          <w:sz w:val="28"/>
        </w:rPr>
        <w:t>СРЕДСТВ, ПОСТУПИВШИХ ОТ ТУРИСТИЧЕСКОГО НАЛОГА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 БЮДЖЕТ КРАПИВИНСКОГО МУНИЦИПАЛЬНОГО ОКРУГА</w:t>
      </w:r>
    </w:p>
    <w:p w14:paraId="09000000">
      <w:pPr>
        <w:widowControl w:val="1"/>
        <w:spacing w:after="24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Общие положения</w:t>
      </w:r>
    </w:p>
    <w:p w14:paraId="0A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редства от туристического налога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поступают в бюджет </w:t>
      </w:r>
      <w:r>
        <w:rPr>
          <w:rFonts w:ascii="Times New Roman" w:hAnsi="Times New Roman"/>
          <w:sz w:val="28"/>
        </w:rPr>
        <w:t>Крапивинского муниципального округа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соответ</w:t>
      </w:r>
      <w:r>
        <w:rPr>
          <w:rFonts w:ascii="Times New Roman" w:hAnsi="Times New Roman"/>
          <w:sz w:val="28"/>
        </w:rPr>
        <w:t xml:space="preserve">ствии с </w:t>
      </w:r>
      <w:r>
        <w:rPr>
          <w:rFonts w:ascii="Times New Roman" w:hAnsi="Times New Roman"/>
          <w:sz w:val="28"/>
        </w:rPr>
        <w:t>Положение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о туристическом налоге на территории Крапивинского муниципального округа</w:t>
      </w:r>
      <w:r>
        <w:rPr>
          <w:rFonts w:ascii="Times New Roman" w:hAnsi="Times New Roman"/>
          <w:sz w:val="28"/>
        </w:rPr>
        <w:t>, утвержденным решени</w:t>
      </w:r>
      <w:r>
        <w:rPr>
          <w:rFonts w:ascii="Times New Roman" w:hAnsi="Times New Roman"/>
          <w:sz w:val="28"/>
        </w:rPr>
        <w:t>ем</w:t>
      </w:r>
      <w:r>
        <w:rPr>
          <w:rFonts w:ascii="Times New Roman" w:hAnsi="Times New Roman"/>
          <w:sz w:val="28"/>
        </w:rPr>
        <w:t xml:space="preserve"> Совета народных депутатов Крапивинского муниципального округа от 29.09.2025 № 73 «Об установлении и введении в действие туристического налога на территории Крапивинского муниципального округа» (в ред. решения № 79 от 27.10.2025)</w:t>
      </w:r>
      <w:r>
        <w:rPr>
          <w:rFonts w:ascii="Times New Roman" w:hAnsi="Times New Roman"/>
          <w:sz w:val="28"/>
        </w:rPr>
        <w:t>.</w:t>
      </w:r>
    </w:p>
    <w:p w14:paraId="0B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Бюджетные с</w:t>
      </w:r>
      <w:r>
        <w:rPr>
          <w:rFonts w:ascii="Times New Roman" w:hAnsi="Times New Roman"/>
          <w:sz w:val="28"/>
        </w:rPr>
        <w:t>редства</w:t>
      </w:r>
      <w:r>
        <w:rPr>
          <w:rFonts w:ascii="Times New Roman" w:hAnsi="Times New Roman"/>
          <w:sz w:val="28"/>
        </w:rPr>
        <w:t>, поступившие</w:t>
      </w:r>
      <w:r>
        <w:rPr>
          <w:rFonts w:ascii="Times New Roman" w:hAnsi="Times New Roman"/>
          <w:sz w:val="28"/>
        </w:rPr>
        <w:t xml:space="preserve"> от туристического налога</w:t>
      </w:r>
      <w:r>
        <w:rPr>
          <w:rFonts w:ascii="Times New Roman" w:hAnsi="Times New Roman"/>
          <w:sz w:val="28"/>
        </w:rPr>
        <w:t xml:space="preserve"> (далее – средства от туристического налога)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зачисляются в бюджет Крапивинского муниципального округа по коду бюджетной классификации доходов бюджетов «</w:t>
      </w:r>
      <w:r>
        <w:rPr>
          <w:rFonts w:ascii="Times New Roman" w:hAnsi="Times New Roman"/>
          <w:sz w:val="28"/>
        </w:rPr>
        <w:t>Налоги на товары (работы, услуги), реализуемые на территории Российской Федерации</w:t>
      </w:r>
      <w:r>
        <w:rPr>
          <w:rFonts w:ascii="Times New Roman" w:hAnsi="Times New Roman"/>
          <w:sz w:val="28"/>
        </w:rPr>
        <w:t>».</w:t>
      </w:r>
    </w:p>
    <w:p w14:paraId="0C000000">
      <w:pPr>
        <w:widowControl w:val="1"/>
        <w:spacing w:after="240" w:before="120" w:line="240" w:lineRule="auto"/>
        <w:ind w:firstLine="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 </w:t>
      </w:r>
      <w:r>
        <w:rPr>
          <w:rFonts w:ascii="Times New Roman" w:hAnsi="Times New Roman"/>
          <w:b w:val="1"/>
          <w:sz w:val="28"/>
        </w:rPr>
        <w:t>Н</w:t>
      </w:r>
      <w:r>
        <w:rPr>
          <w:rFonts w:ascii="Times New Roman" w:hAnsi="Times New Roman"/>
          <w:b w:val="1"/>
          <w:sz w:val="28"/>
        </w:rPr>
        <w:t xml:space="preserve">аправления </w:t>
      </w:r>
      <w:r>
        <w:rPr>
          <w:rFonts w:ascii="Times New Roman" w:hAnsi="Times New Roman"/>
          <w:b w:val="1"/>
          <w:sz w:val="28"/>
        </w:rPr>
        <w:t>расходования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средств от туристического налога </w:t>
      </w:r>
    </w:p>
    <w:p w14:paraId="0D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редства от туристического налога, </w:t>
      </w:r>
      <w:r>
        <w:rPr>
          <w:rFonts w:ascii="Times New Roman" w:hAnsi="Times New Roman"/>
          <w:sz w:val="28"/>
        </w:rPr>
        <w:t>направляются</w:t>
      </w:r>
      <w:r>
        <w:rPr>
          <w:rFonts w:ascii="Times New Roman" w:hAnsi="Times New Roman"/>
          <w:sz w:val="28"/>
        </w:rPr>
        <w:t xml:space="preserve"> на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</w:p>
    <w:p w14:paraId="0E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р</w:t>
      </w:r>
      <w:r>
        <w:rPr>
          <w:rFonts w:ascii="Times New Roman" w:hAnsi="Times New Roman"/>
          <w:sz w:val="28"/>
        </w:rPr>
        <w:t>азвитие туристической инфраструктуры</w:t>
      </w:r>
      <w:r>
        <w:rPr>
          <w:rFonts w:ascii="Times New Roman" w:hAnsi="Times New Roman"/>
          <w:sz w:val="28"/>
        </w:rPr>
        <w:t>;</w:t>
      </w:r>
    </w:p>
    <w:p w14:paraId="0F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благоустройство </w:t>
      </w:r>
      <w:r>
        <w:rPr>
          <w:rFonts w:ascii="Times New Roman" w:hAnsi="Times New Roman"/>
          <w:sz w:val="28"/>
        </w:rPr>
        <w:t>туристическ</w:t>
      </w:r>
      <w:r>
        <w:rPr>
          <w:rFonts w:ascii="Times New Roman" w:hAnsi="Times New Roman"/>
          <w:sz w:val="28"/>
        </w:rPr>
        <w:t xml:space="preserve">их пространств, включая </w:t>
      </w:r>
      <w:r>
        <w:rPr>
          <w:rFonts w:ascii="Times New Roman" w:hAnsi="Times New Roman"/>
          <w:sz w:val="28"/>
        </w:rPr>
        <w:t>общественные пространства</w:t>
      </w:r>
      <w:r>
        <w:rPr>
          <w:rFonts w:ascii="Times New Roman" w:hAnsi="Times New Roman"/>
          <w:sz w:val="28"/>
        </w:rPr>
        <w:t>;</w:t>
      </w:r>
    </w:p>
    <w:p w14:paraId="10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овышение безопасности и комфорта</w:t>
      </w:r>
      <w:r>
        <w:rPr>
          <w:rFonts w:ascii="Times New Roman" w:hAnsi="Times New Roman"/>
          <w:sz w:val="28"/>
        </w:rPr>
        <w:t xml:space="preserve"> (установку освещения, камер, туалетов и т.п.)</w:t>
      </w:r>
      <w:r>
        <w:rPr>
          <w:rFonts w:ascii="Times New Roman" w:hAnsi="Times New Roman"/>
          <w:sz w:val="28"/>
        </w:rPr>
        <w:t>;</w:t>
      </w:r>
    </w:p>
    <w:p w14:paraId="11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рганизаци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проведение </w:t>
      </w:r>
      <w:r>
        <w:rPr>
          <w:rFonts w:ascii="Times New Roman" w:hAnsi="Times New Roman"/>
          <w:sz w:val="28"/>
        </w:rPr>
        <w:t>событийных мероприятий</w:t>
      </w:r>
      <w:r>
        <w:rPr>
          <w:rFonts w:ascii="Times New Roman" w:hAnsi="Times New Roman"/>
          <w:sz w:val="28"/>
        </w:rPr>
        <w:t xml:space="preserve"> (ф</w:t>
      </w:r>
      <w:r>
        <w:rPr>
          <w:rFonts w:ascii="Times New Roman" w:hAnsi="Times New Roman"/>
          <w:sz w:val="28"/>
        </w:rPr>
        <w:t>естивали, экскурсии и другие мероприятия для привлечения туристов</w:t>
      </w:r>
      <w:r>
        <w:rPr>
          <w:rFonts w:ascii="Times New Roman" w:hAnsi="Times New Roman"/>
          <w:sz w:val="28"/>
        </w:rPr>
        <w:t>);</w:t>
      </w:r>
    </w:p>
    <w:p w14:paraId="12000000">
      <w:pPr>
        <w:pStyle w:val="Style_4"/>
        <w:widowControl w:val="1"/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с</w:t>
      </w:r>
      <w:r>
        <w:rPr>
          <w:rFonts w:ascii="Times New Roman" w:hAnsi="Times New Roman"/>
          <w:sz w:val="28"/>
        </w:rPr>
        <w:t>офинансирование региональных проектов по развитию туризма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13000000">
      <w:pPr>
        <w:widowControl w:val="1"/>
        <w:spacing w:after="240" w:before="120" w:line="240" w:lineRule="auto"/>
        <w:ind w:firstLine="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3. </w:t>
      </w:r>
      <w:r>
        <w:rPr>
          <w:rFonts w:ascii="Times New Roman" w:hAnsi="Times New Roman"/>
          <w:b w:val="1"/>
          <w:sz w:val="28"/>
        </w:rPr>
        <w:t xml:space="preserve">Порядок расходования </w:t>
      </w:r>
      <w:r>
        <w:rPr>
          <w:rFonts w:ascii="Times New Roman" w:hAnsi="Times New Roman"/>
          <w:b w:val="1"/>
          <w:sz w:val="28"/>
        </w:rPr>
        <w:t xml:space="preserve">средств </w:t>
      </w:r>
      <w:r>
        <w:rPr>
          <w:rFonts w:ascii="Times New Roman" w:hAnsi="Times New Roman"/>
          <w:b w:val="1"/>
          <w:sz w:val="28"/>
        </w:rPr>
        <w:t xml:space="preserve">от туристического налога </w:t>
      </w:r>
    </w:p>
    <w:p w14:paraId="14000000">
      <w:pPr>
        <w:pStyle w:val="Style_5"/>
        <w:widowControl w:val="1"/>
        <w:tabs>
          <w:tab w:leader="none" w:pos="1066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.1.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редств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от туристического налога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расходуются в соответствии со сводной бюджетной росписью Крапивинского муниципального округа на соответствующий финансовый год с учетом их фактического поступления в бюджет Крапивинского муниципального округа.</w:t>
      </w:r>
    </w:p>
    <w:p w14:paraId="15000000">
      <w:pPr>
        <w:pStyle w:val="Style_5"/>
        <w:widowControl w:val="1"/>
        <w:tabs>
          <w:tab w:leader="none" w:pos="0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.2. Финансирование </w:t>
      </w:r>
      <w:r>
        <w:rPr>
          <w:rFonts w:ascii="Times New Roman" w:hAnsi="Times New Roman"/>
          <w:sz w:val="28"/>
        </w:rPr>
        <w:t>средств от</w:t>
      </w:r>
      <w:r>
        <w:rPr>
          <w:rFonts w:ascii="Times New Roman" w:hAnsi="Times New Roman"/>
          <w:sz w:val="28"/>
        </w:rPr>
        <w:t xml:space="preserve"> туристического налога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производится на основании постановления администрации Крапивинского муниципального округа (далее – постановления), с указанием получателя бюджетных ассигнований, размера выделяемых бюджетных ассигнований, цели использования бюджетных ассигнований.</w:t>
      </w:r>
    </w:p>
    <w:p w14:paraId="16000000">
      <w:pPr>
        <w:pStyle w:val="Style_5"/>
        <w:widowControl w:val="1"/>
        <w:tabs>
          <w:tab w:leader="none" w:pos="0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.3. Расходование </w:t>
      </w:r>
      <w:r>
        <w:rPr>
          <w:rFonts w:ascii="Times New Roman" w:hAnsi="Times New Roman"/>
          <w:sz w:val="28"/>
        </w:rPr>
        <w:t>средств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туристического налога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осуществляется в соответствии со статьей 219 Бюджетного кодекса Российской Федерации путем </w:t>
      </w:r>
      <w:r>
        <w:rPr>
          <w:rFonts w:ascii="Times New Roman" w:hAnsi="Times New Roman"/>
          <w:sz w:val="28"/>
        </w:rPr>
        <w:t>подтверждения денежных обязательств, принятых получателями средств бюджета Крапивинского муниципального округа и подлежащих исполнению в строгом соответствии с целевым назначением.</w:t>
      </w:r>
    </w:p>
    <w:p w14:paraId="17000000">
      <w:pPr>
        <w:pStyle w:val="Style_5"/>
        <w:widowControl w:val="1"/>
        <w:tabs>
          <w:tab w:leader="none" w:pos="0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.4. Средства</w:t>
      </w:r>
      <w:r>
        <w:rPr>
          <w:rFonts w:ascii="Times New Roman" w:hAnsi="Times New Roman"/>
          <w:sz w:val="28"/>
        </w:rPr>
        <w:t xml:space="preserve">, поступившие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туристического налога</w:t>
      </w:r>
      <w:r>
        <w:rPr>
          <w:rFonts w:ascii="Times New Roman" w:hAnsi="Times New Roman"/>
          <w:sz w:val="28"/>
        </w:rPr>
        <w:t>, не использованные в текущем финансовом году, подлежат использованию в следующем финансовом году.</w:t>
      </w:r>
    </w:p>
    <w:p w14:paraId="18000000">
      <w:pPr>
        <w:widowControl w:val="1"/>
        <w:spacing w:after="240" w:before="120" w:line="240" w:lineRule="auto"/>
        <w:ind w:firstLine="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Учет и отчетность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средств от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туристического налога </w:t>
      </w:r>
    </w:p>
    <w:p w14:paraId="19000000">
      <w:pPr>
        <w:pStyle w:val="Style_5"/>
        <w:widowControl w:val="1"/>
        <w:tabs>
          <w:tab w:leader="none" w:pos="0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.1. Учет операций </w:t>
      </w:r>
      <w:r>
        <w:rPr>
          <w:rFonts w:ascii="Times New Roman" w:hAnsi="Times New Roman"/>
          <w:sz w:val="28"/>
        </w:rPr>
        <w:t>средств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туристического налога </w:t>
      </w:r>
      <w:r>
        <w:rPr>
          <w:rFonts w:ascii="Times New Roman" w:hAnsi="Times New Roman"/>
          <w:sz w:val="28"/>
        </w:rPr>
        <w:t xml:space="preserve">осуществляется главными администраторами доходов бюджета Крапивинского муниципального округа </w:t>
      </w:r>
      <w:r>
        <w:rPr>
          <w:rFonts w:ascii="Times New Roman" w:hAnsi="Times New Roman"/>
          <w:sz w:val="28"/>
        </w:rPr>
        <w:t xml:space="preserve">и главными распорядителями средств </w:t>
      </w:r>
      <w:r>
        <w:rPr>
          <w:rFonts w:ascii="Times New Roman" w:hAnsi="Times New Roman"/>
          <w:sz w:val="28"/>
        </w:rPr>
        <w:t xml:space="preserve">бюджета Крапивинского муниципального округа </w:t>
      </w:r>
      <w:r>
        <w:rPr>
          <w:rFonts w:ascii="Times New Roman" w:hAnsi="Times New Roman"/>
          <w:sz w:val="28"/>
        </w:rPr>
        <w:t>в порядке, установленном для учета операций по исполнению бюджета Крапивинского муниципального округа.</w:t>
      </w:r>
    </w:p>
    <w:p w14:paraId="1A000000">
      <w:pPr>
        <w:pStyle w:val="Style_5"/>
        <w:widowControl w:val="1"/>
        <w:tabs>
          <w:tab w:leader="none" w:pos="1158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.2. </w:t>
      </w:r>
      <w:r>
        <w:rPr>
          <w:rFonts w:ascii="Times New Roman" w:hAnsi="Times New Roman"/>
          <w:sz w:val="28"/>
        </w:rPr>
        <w:t xml:space="preserve">Отчет о </w:t>
      </w:r>
      <w:r>
        <w:rPr>
          <w:rFonts w:ascii="Times New Roman" w:hAnsi="Times New Roman"/>
          <w:sz w:val="28"/>
        </w:rPr>
        <w:t>поступлении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расходовании </w:t>
      </w:r>
      <w:r>
        <w:rPr>
          <w:rFonts w:ascii="Times New Roman" w:hAnsi="Times New Roman"/>
          <w:sz w:val="28"/>
        </w:rPr>
        <w:t>средств от туристического налога</w:t>
      </w:r>
      <w:r>
        <w:rPr>
          <w:rFonts w:ascii="Times New Roman" w:hAnsi="Times New Roman"/>
          <w:sz w:val="28"/>
        </w:rPr>
        <w:t xml:space="preserve"> осуществляется по форме</w:t>
      </w:r>
      <w:r>
        <w:rPr>
          <w:rFonts w:ascii="Times New Roman" w:hAnsi="Times New Roman"/>
          <w:sz w:val="28"/>
        </w:rPr>
        <w:t>, согласно приложению №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 данному По</w:t>
      </w:r>
      <w:r>
        <w:rPr>
          <w:rFonts w:ascii="Times New Roman" w:hAnsi="Times New Roman"/>
          <w:sz w:val="28"/>
        </w:rPr>
        <w:t>рядку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включается в состав ежеквартального отчета об исполнении бюджета Крапивинского муниципального округа.</w:t>
      </w:r>
    </w:p>
    <w:p w14:paraId="1B000000">
      <w:pPr>
        <w:pStyle w:val="Style_5"/>
        <w:widowControl w:val="1"/>
        <w:tabs>
          <w:tab w:leader="none" w:pos="1158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Отдел бухгалтерского учета и отчетности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инансового управления администрации Крапивинского муниципального округа по данным главных администраторо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доходов бюджета и главных распорядителей бюджетных средств формирует сводный финансовый отчет о поступлении и расходовании средств </w:t>
      </w:r>
      <w:r>
        <w:rPr>
          <w:rFonts w:ascii="Times New Roman" w:hAnsi="Times New Roman"/>
          <w:sz w:val="28"/>
        </w:rPr>
        <w:t>от туристического налога</w:t>
      </w:r>
      <w:r>
        <w:rPr>
          <w:rFonts w:ascii="Times New Roman" w:hAnsi="Times New Roman"/>
          <w:sz w:val="28"/>
        </w:rPr>
        <w:t>, (далее – сводный финансовый отчет)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согласно приложению №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к данному По</w:t>
      </w:r>
      <w:r>
        <w:rPr>
          <w:rFonts w:ascii="Times New Roman" w:hAnsi="Times New Roman"/>
          <w:sz w:val="28"/>
        </w:rPr>
        <w:t>рядку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 составе годовой отчетности об исполнении бюджета Крапивинского муниципального округа.</w:t>
      </w:r>
    </w:p>
    <w:p w14:paraId="1C000000">
      <w:pPr>
        <w:pStyle w:val="Style_6"/>
        <w:widowControl w:val="1"/>
        <w:ind w:firstLine="567"/>
        <w:jc w:val="both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>4</w:t>
      </w:r>
      <w:r>
        <w:rPr>
          <w:rFonts w:ascii="Times New Roman" w:hAnsi="Times New Roman"/>
          <w:b w:val="0"/>
          <w:sz w:val="28"/>
        </w:rPr>
        <w:t>. Сводный финансовый отчет обнародуется на информационном стенде администрации Крапивинского муниципального округа, а также на стендах, размещенных в зданиях территориальных отделов, входящих в состав муниципального казенного учреждения «Территориальное управление администрации Крапивинского муниципального округа», в соответствии с частью 2 статьи 59 Устава Крапивинского муниципального округа Кемеровской области – Кузбасса не позднее 1 апреля года, следующего за отчетным годом.</w:t>
      </w:r>
    </w:p>
    <w:p w14:paraId="1D000000">
      <w:pPr>
        <w:pStyle w:val="Style_5"/>
        <w:widowControl w:val="1"/>
        <w:spacing w:after="240" w:before="12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Контроль за расходованием </w:t>
      </w:r>
      <w:r>
        <w:rPr>
          <w:rFonts w:ascii="Times New Roman" w:hAnsi="Times New Roman"/>
          <w:b w:val="1"/>
          <w:sz w:val="28"/>
        </w:rPr>
        <w:t>средств от туристического налога</w:t>
      </w:r>
    </w:p>
    <w:p w14:paraId="1E000000">
      <w:pPr>
        <w:pStyle w:val="Style_5"/>
        <w:widowControl w:val="1"/>
        <w:tabs>
          <w:tab w:leader="none" w:pos="426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.1. Внутренний финансовый контроль за целевым использованием </w:t>
      </w:r>
      <w:r>
        <w:rPr>
          <w:rFonts w:ascii="Times New Roman" w:hAnsi="Times New Roman"/>
          <w:sz w:val="28"/>
        </w:rPr>
        <w:t xml:space="preserve">средств от туристического налога </w:t>
      </w:r>
      <w:r>
        <w:rPr>
          <w:rFonts w:ascii="Times New Roman" w:hAnsi="Times New Roman"/>
          <w:sz w:val="28"/>
        </w:rPr>
        <w:t>осуществляется главными распорядителями средств бюджета Крапивинского муниципального округа, отделом внутреннего финансового контроля администрации Крапивинского муниципального округа.</w:t>
      </w:r>
    </w:p>
    <w:p w14:paraId="1F000000">
      <w:pPr>
        <w:pStyle w:val="Style_5"/>
        <w:widowControl w:val="1"/>
        <w:tabs>
          <w:tab w:leader="none" w:pos="426" w:val="left"/>
        </w:tabs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.2. Ответственность за нецелевое расходование </w:t>
      </w:r>
      <w:r>
        <w:rPr>
          <w:rFonts w:ascii="Times New Roman" w:hAnsi="Times New Roman"/>
          <w:sz w:val="28"/>
        </w:rPr>
        <w:t>средств от туристического налога</w:t>
      </w:r>
      <w:r>
        <w:rPr>
          <w:rFonts w:ascii="Times New Roman" w:hAnsi="Times New Roman"/>
          <w:sz w:val="28"/>
        </w:rPr>
        <w:t xml:space="preserve"> несет получатель соответствующих денежных средств согласно законодательству Российской Федерации.</w:t>
      </w:r>
    </w:p>
    <w:p w14:paraId="2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21000000">
      <w:pPr>
        <w:widowControl w:val="1"/>
        <w:spacing w:after="0"/>
        <w:ind w:left="4535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</w:t>
      </w:r>
      <w:r>
        <w:rPr>
          <w:rFonts w:ascii="Times New Roman" w:hAnsi="Times New Roman"/>
          <w:sz w:val="24"/>
        </w:rPr>
        <w:t>1</w:t>
      </w:r>
    </w:p>
    <w:p w14:paraId="22000000">
      <w:pPr>
        <w:widowControl w:val="1"/>
        <w:spacing w:after="0" w:line="240" w:lineRule="auto"/>
        <w:ind w:left="453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</w:t>
      </w:r>
      <w:r>
        <w:rPr>
          <w:rFonts w:ascii="Times New Roman" w:hAnsi="Times New Roman"/>
          <w:sz w:val="24"/>
        </w:rPr>
        <w:t>рядку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использования бюджетных средств, поступивших от туристического налога </w:t>
      </w:r>
      <w:r>
        <w:rPr>
          <w:rFonts w:ascii="Times New Roman" w:hAnsi="Times New Roman"/>
          <w:sz w:val="24"/>
        </w:rPr>
        <w:t>в бюджет Крапивинского муниципального округа</w:t>
      </w: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>ТЧЕТ</w:t>
      </w:r>
    </w:p>
    <w:p w14:paraId="25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поступлении и расходовании средств от туристического налога </w:t>
      </w:r>
    </w:p>
    <w:p w14:paraId="26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по состоянию на </w:t>
      </w:r>
      <w:r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27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14"/>
        </w:rPr>
      </w:pPr>
    </w:p>
    <w:p w14:paraId="28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</w:t>
      </w:r>
    </w:p>
    <w:p w14:paraId="29000000">
      <w:pPr>
        <w:widowControl w:val="1"/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(наименование </w:t>
      </w:r>
      <w:r>
        <w:rPr>
          <w:rFonts w:ascii="Times New Roman" w:hAnsi="Times New Roman"/>
          <w:i w:val="1"/>
          <w:sz w:val="24"/>
        </w:rPr>
        <w:t>учреждения</w:t>
      </w:r>
      <w:r>
        <w:rPr>
          <w:rFonts w:ascii="Times New Roman" w:hAnsi="Times New Roman"/>
          <w:i w:val="1"/>
          <w:sz w:val="24"/>
        </w:rPr>
        <w:t>)</w:t>
      </w:r>
    </w:p>
    <w:p w14:paraId="2A000000">
      <w:pPr>
        <w:widowControl w:val="1"/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</w:p>
    <w:p w14:paraId="2B000000">
      <w:pPr>
        <w:pStyle w:val="Style_4"/>
        <w:widowControl w:val="1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8"/>
        </w:rPr>
        <w:t>Поступлени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 от туристического налога</w:t>
      </w: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1"/>
        <w:gridCol w:w="5503"/>
        <w:gridCol w:w="1766"/>
      </w:tblGrid>
      <w:tr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5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КБК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  <w:r>
              <w:rPr>
                <w:rFonts w:ascii="Times New Roman" w:hAnsi="Times New Roman"/>
                <w:sz w:val="28"/>
              </w:rPr>
              <w:t>, руб.</w:t>
            </w:r>
          </w:p>
        </w:tc>
      </w:tr>
      <w:tr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Остаток на начало года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2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2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Остаток на конец года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39000000">
      <w:pPr>
        <w:pStyle w:val="Style_4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3A000000">
      <w:pPr>
        <w:pStyle w:val="Style_4"/>
        <w:widowControl w:val="1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Расходование средств от туристического налога</w:t>
      </w: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90"/>
        <w:gridCol w:w="1828"/>
        <w:gridCol w:w="2008"/>
        <w:gridCol w:w="3237"/>
        <w:gridCol w:w="1276"/>
      </w:tblGrid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КБК</w:t>
            </w:r>
          </w:p>
        </w:tc>
        <w:tc>
          <w:tcPr>
            <w:tcW w:type="dxa" w:w="2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расходов</w:t>
            </w:r>
          </w:p>
        </w:tc>
        <w:tc>
          <w:tcPr>
            <w:tcW w:type="dxa" w:w="3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Основание для проведения расходов (номер и дата постановления)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  <w:r>
              <w:rPr>
                <w:rFonts w:ascii="Times New Roman" w:hAnsi="Times New Roman"/>
                <w:sz w:val="28"/>
              </w:rPr>
              <w:t>, руб.</w:t>
            </w: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77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расходов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51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52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</w:p>
    <w:tbl>
      <w:tblPr>
        <w:tblStyle w:val="Style_7"/>
        <w:tblW w:type="auto" w:w="0"/>
        <w:tblLayout w:type="fixed"/>
      </w:tblPr>
      <w:tblGrid>
        <w:gridCol w:w="3085"/>
        <w:gridCol w:w="425"/>
        <w:gridCol w:w="2694"/>
        <w:gridCol w:w="425"/>
        <w:gridCol w:w="2941"/>
      </w:tblGrid>
      <w:tr>
        <w:tc>
          <w:tcPr>
            <w:tcW w:type="dxa" w:w="3085"/>
            <w:tcBorders>
              <w:bottom w:color="000000" w:sz="4" w:val="single"/>
            </w:tcBorders>
            <w:shd w:fill="auto" w:val="clear"/>
          </w:tcPr>
          <w:p w14:paraId="5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shd w:fill="auto" w:val="clear"/>
          </w:tcPr>
          <w:p w14:paraId="5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4"/>
            <w:tcBorders>
              <w:bottom w:color="000000" w:sz="4" w:val="single"/>
            </w:tcBorders>
            <w:shd w:fill="auto" w:val="clear"/>
          </w:tcPr>
          <w:p w14:paraId="5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shd w:fill="auto" w:val="clear"/>
          </w:tcPr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41"/>
            <w:tcBorders>
              <w:bottom w:color="000000" w:sz="4" w:val="single"/>
            </w:tcBorders>
            <w:shd w:fill="auto" w:val="clear"/>
          </w:tcPr>
          <w:p w14:paraId="5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085"/>
            <w:tcBorders>
              <w:top w:color="000000" w:sz="4" w:val="single"/>
            </w:tcBorders>
            <w:shd w:fill="auto" w:val="clea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425"/>
            <w:shd w:fill="auto" w:val="clear"/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4"/>
            <w:tcBorders>
              <w:top w:color="000000" w:sz="4" w:val="single"/>
            </w:tcBorders>
            <w:shd w:fill="auto" w:val="clear"/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type="dxa" w:w="425"/>
            <w:shd w:fill="auto" w:val="clea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41"/>
            <w:tcBorders>
              <w:top w:color="000000" w:sz="4" w:val="single"/>
            </w:tcBorders>
            <w:shd w:fill="auto" w:val="clear"/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подписи</w:t>
            </w:r>
          </w:p>
        </w:tc>
      </w:tr>
    </w:tbl>
    <w:p w14:paraId="5D000000">
      <w:pPr>
        <w:widowControl w:val="1"/>
        <w:spacing w:after="0" w:before="12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</w:t>
      </w:r>
    </w:p>
    <w:tbl>
      <w:tblPr>
        <w:tblStyle w:val="Style_7"/>
        <w:tblW w:type="auto" w:w="0"/>
        <w:tblLayout w:type="fixed"/>
      </w:tblPr>
      <w:tblGrid>
        <w:gridCol w:w="2890"/>
        <w:gridCol w:w="195"/>
        <w:gridCol w:w="208"/>
        <w:gridCol w:w="2514"/>
        <w:gridCol w:w="403"/>
        <w:gridCol w:w="844"/>
        <w:gridCol w:w="1949"/>
      </w:tblGrid>
      <w:tr>
        <w:tc>
          <w:tcPr>
            <w:tcW w:type="dxa" w:w="2890"/>
            <w:tcBorders>
              <w:bottom w:color="000000" w:sz="4" w:val="single"/>
            </w:tcBorders>
            <w:shd w:fill="auto" w:val="clear"/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3"/>
            <w:gridSpan w:val="2"/>
            <w:shd w:fill="auto" w:val="clear"/>
          </w:tcPr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14"/>
            <w:tcBorders>
              <w:bottom w:color="000000" w:sz="4" w:val="single"/>
            </w:tcBorders>
            <w:shd w:fill="auto" w:val="clear"/>
          </w:tcPr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3"/>
            <w:shd w:fill="auto" w:val="clear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793"/>
            <w:gridSpan w:val="2"/>
            <w:tcBorders>
              <w:bottom w:color="000000" w:sz="4" w:val="single"/>
            </w:tcBorders>
            <w:shd w:fill="auto" w:val="clear"/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890"/>
            <w:tcBorders>
              <w:top w:color="000000" w:sz="4" w:val="single"/>
            </w:tcBorders>
            <w:shd w:fill="auto" w:val="clear"/>
          </w:tcPr>
          <w:p w14:paraId="6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403"/>
            <w:gridSpan w:val="2"/>
            <w:shd w:fill="auto" w:val="clea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14"/>
            <w:tcBorders>
              <w:top w:color="000000" w:sz="4" w:val="single"/>
            </w:tcBorders>
            <w:shd w:fill="auto" w:val="clear"/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type="dxa" w:w="403"/>
            <w:shd w:fill="auto" w:val="clear"/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93"/>
            <w:gridSpan w:val="2"/>
            <w:tcBorders>
              <w:top w:color="000000" w:sz="4" w:val="single"/>
            </w:tcBorders>
            <w:shd w:fill="auto" w:val="clea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подписи</w:t>
            </w:r>
          </w:p>
        </w:tc>
      </w:tr>
      <w:tr>
        <w:tc>
          <w:tcPr>
            <w:tcW w:type="dxa" w:w="3085"/>
            <w:gridSpan w:val="2"/>
            <w:shd w:fill="auto" w:val="clear"/>
          </w:tcPr>
          <w:p w14:paraId="68000000">
            <w:pPr>
              <w:widowControl w:val="1"/>
              <w:spacing w:after="0" w:before="24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type="dxa" w:w="3969"/>
            <w:gridSpan w:val="4"/>
            <w:tcBorders>
              <w:bottom w:color="000000" w:sz="4" w:val="single"/>
            </w:tcBorders>
            <w:shd w:fill="auto" w:val="clear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49"/>
          </w:tcPr>
          <w:p/>
        </w:tc>
      </w:tr>
    </w:tbl>
    <w:p w14:paraId="6A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</w:p>
    <w:p w14:paraId="6B000000">
      <w:pPr>
        <w:widowControl w:val="1"/>
        <w:spacing w:after="0"/>
        <w:ind w:left="4535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4"/>
        </w:rPr>
        <w:t>Приложение №</w:t>
      </w:r>
      <w:r>
        <w:rPr>
          <w:rFonts w:ascii="Times New Roman" w:hAnsi="Times New Roman"/>
          <w:sz w:val="24"/>
        </w:rPr>
        <w:t>2</w:t>
      </w:r>
    </w:p>
    <w:p w14:paraId="6C000000">
      <w:pPr>
        <w:widowControl w:val="1"/>
        <w:spacing w:after="0" w:line="240" w:lineRule="auto"/>
        <w:ind w:left="453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</w:t>
      </w:r>
      <w:r>
        <w:rPr>
          <w:rFonts w:ascii="Times New Roman" w:hAnsi="Times New Roman"/>
          <w:sz w:val="24"/>
        </w:rPr>
        <w:t>рядку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использования бюджетных средств, поступивших от туристического налога </w:t>
      </w:r>
      <w:r>
        <w:rPr>
          <w:rFonts w:ascii="Times New Roman" w:hAnsi="Times New Roman"/>
          <w:sz w:val="24"/>
        </w:rPr>
        <w:t>в бюджет Крапивинского муниципального округа</w:t>
      </w:r>
    </w:p>
    <w:p w14:paraId="6D000000">
      <w:pPr>
        <w:widowControl w:val="1"/>
        <w:spacing w:after="0"/>
        <w:ind w:left="4535"/>
        <w:jc w:val="center"/>
        <w:outlineLvl w:val="0"/>
        <w:rPr>
          <w:rFonts w:ascii="Times New Roman" w:hAnsi="Times New Roman"/>
          <w:sz w:val="28"/>
        </w:rPr>
      </w:pPr>
    </w:p>
    <w:p w14:paraId="6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СВОДНЫЙ ФИНАНСОВЫЙ О</w:t>
      </w:r>
      <w:r>
        <w:rPr>
          <w:rFonts w:ascii="Times New Roman" w:hAnsi="Times New Roman"/>
          <w:b w:val="1"/>
          <w:sz w:val="28"/>
        </w:rPr>
        <w:t>ТЧЕТ</w:t>
      </w:r>
    </w:p>
    <w:p w14:paraId="6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поступлении и расходовании средств от туристического налога </w:t>
      </w:r>
    </w:p>
    <w:p w14:paraId="70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z w:val="28"/>
        </w:rPr>
        <w:t xml:space="preserve"> 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год.</w:t>
      </w:r>
      <w:r>
        <w:rPr>
          <w:rFonts w:ascii="Times New Roman" w:hAnsi="Times New Roman"/>
          <w:sz w:val="28"/>
        </w:rPr>
        <w:t xml:space="preserve"> </w:t>
      </w:r>
    </w:p>
    <w:p w14:paraId="71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14"/>
        </w:rPr>
      </w:pPr>
    </w:p>
    <w:p w14:paraId="7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</w:t>
      </w:r>
    </w:p>
    <w:p w14:paraId="73000000">
      <w:pPr>
        <w:widowControl w:val="1"/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(наименование </w:t>
      </w:r>
      <w:r>
        <w:rPr>
          <w:rFonts w:ascii="Times New Roman" w:hAnsi="Times New Roman"/>
          <w:i w:val="1"/>
          <w:sz w:val="24"/>
        </w:rPr>
        <w:t>финансового органа</w:t>
      </w:r>
      <w:r>
        <w:rPr>
          <w:rFonts w:ascii="Times New Roman" w:hAnsi="Times New Roman"/>
          <w:i w:val="1"/>
          <w:sz w:val="24"/>
        </w:rPr>
        <w:t>)</w:t>
      </w:r>
    </w:p>
    <w:p w14:paraId="74000000">
      <w:pPr>
        <w:widowControl w:val="1"/>
        <w:spacing w:after="0" w:line="240" w:lineRule="auto"/>
        <w:ind/>
        <w:jc w:val="center"/>
        <w:rPr>
          <w:rFonts w:ascii="Times New Roman" w:hAnsi="Times New Roman"/>
          <w:i w:val="1"/>
          <w:sz w:val="24"/>
        </w:rPr>
      </w:pPr>
    </w:p>
    <w:p w14:paraId="75000000">
      <w:pPr>
        <w:pStyle w:val="Style_4"/>
        <w:widowControl w:val="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8"/>
        </w:rPr>
        <w:t>Поступлени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 от туристического налога</w:t>
      </w: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17"/>
        <w:gridCol w:w="2751"/>
        <w:gridCol w:w="2752"/>
        <w:gridCol w:w="1766"/>
      </w:tblGrid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2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Получатель</w:t>
            </w:r>
          </w:p>
        </w:tc>
        <w:tc>
          <w:tcPr>
            <w:tcW w:type="dxa" w:w="2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КБК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  <w:r>
              <w:rPr>
                <w:rFonts w:ascii="Times New Roman" w:hAnsi="Times New Roman"/>
                <w:sz w:val="28"/>
              </w:rPr>
              <w:t>, руб.</w:t>
            </w: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0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Остаток на начало года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8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3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3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Остаток на конец года</w:t>
            </w:r>
          </w:p>
        </w:tc>
        <w:tc>
          <w:tcPr>
            <w:tcW w:type="dxa" w:w="17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85000000">
      <w:pPr>
        <w:pStyle w:val="Style_4"/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86000000">
      <w:pPr>
        <w:pStyle w:val="Style_4"/>
        <w:widowControl w:val="1"/>
        <w:numPr>
          <w:ilvl w:val="0"/>
          <w:numId w:val="2"/>
        </w:num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Расходование средств от туристического налога</w:t>
      </w: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59"/>
        <w:gridCol w:w="1013"/>
        <w:gridCol w:w="605"/>
        <w:gridCol w:w="1488"/>
        <w:gridCol w:w="1995"/>
        <w:gridCol w:w="2874"/>
        <w:gridCol w:w="1218"/>
      </w:tblGrid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1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Получатель</w:t>
            </w:r>
          </w:p>
        </w:tc>
        <w:tc>
          <w:tcPr>
            <w:tcW w:type="dxa" w:w="1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КБК</w:t>
            </w: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расходов</w:t>
            </w:r>
          </w:p>
        </w:tc>
        <w:tc>
          <w:tcPr>
            <w:tcW w:type="dxa" w:w="2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Основание для проведения расходов (номер и дата постановления)</w:t>
            </w: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  <w:r>
              <w:rPr>
                <w:rFonts w:ascii="Times New Roman" w:hAnsi="Times New Roman"/>
                <w:sz w:val="28"/>
              </w:rPr>
              <w:t>, руб.</w:t>
            </w: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8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6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96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расходов</w:t>
            </w:r>
          </w:p>
        </w:tc>
        <w:tc>
          <w:tcPr>
            <w:tcW w:type="dxa" w:w="12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A2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A3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</w:p>
    <w:tbl>
      <w:tblPr>
        <w:tblStyle w:val="Style_7"/>
        <w:tblW w:type="auto" w:w="0"/>
        <w:tblLayout w:type="fixed"/>
      </w:tblPr>
      <w:tblGrid>
        <w:gridCol w:w="3085"/>
        <w:gridCol w:w="425"/>
        <w:gridCol w:w="2694"/>
        <w:gridCol w:w="425"/>
        <w:gridCol w:w="2941"/>
      </w:tblGrid>
      <w:tr>
        <w:tc>
          <w:tcPr>
            <w:tcW w:type="dxa" w:w="3085"/>
            <w:tcBorders>
              <w:bottom w:color="000000" w:sz="4" w:val="single"/>
            </w:tcBorders>
            <w:shd w:fill="auto" w:val="clear"/>
          </w:tcPr>
          <w:p w14:paraId="A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shd w:fill="auto" w:val="clear"/>
          </w:tcPr>
          <w:p w14:paraId="A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94"/>
            <w:tcBorders>
              <w:bottom w:color="000000" w:sz="4" w:val="single"/>
            </w:tcBorders>
            <w:shd w:fill="auto" w:val="clear"/>
          </w:tcPr>
          <w:p w14:paraId="A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shd w:fill="auto" w:val="clear"/>
          </w:tcPr>
          <w:p w14:paraId="A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941"/>
            <w:tcBorders>
              <w:bottom w:color="000000" w:sz="4" w:val="single"/>
            </w:tcBorders>
            <w:shd w:fill="auto" w:val="clear"/>
          </w:tcPr>
          <w:p w14:paraId="A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085"/>
            <w:tcBorders>
              <w:top w:color="000000" w:sz="4" w:val="single"/>
            </w:tcBorders>
            <w:shd w:fill="auto" w:val="clea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425"/>
            <w:shd w:fill="auto" w:val="clear"/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94"/>
            <w:tcBorders>
              <w:top w:color="000000" w:sz="4" w:val="single"/>
            </w:tcBorders>
            <w:shd w:fill="auto" w:val="clear"/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type="dxa" w:w="425"/>
            <w:shd w:fill="auto" w:val="clea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41"/>
            <w:tcBorders>
              <w:top w:color="000000" w:sz="4" w:val="single"/>
            </w:tcBorders>
            <w:shd w:fill="auto" w:val="clear"/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подписи</w:t>
            </w:r>
          </w:p>
        </w:tc>
      </w:tr>
    </w:tbl>
    <w:p w14:paraId="AE000000">
      <w:pPr>
        <w:widowControl w:val="1"/>
        <w:spacing w:after="0" w:before="12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Исполнитель</w:t>
      </w:r>
    </w:p>
    <w:tbl>
      <w:tblPr>
        <w:tblStyle w:val="Style_7"/>
        <w:tblW w:type="auto" w:w="0"/>
        <w:tblLayout w:type="fixed"/>
      </w:tblPr>
      <w:tblGrid>
        <w:gridCol w:w="2890"/>
        <w:gridCol w:w="195"/>
        <w:gridCol w:w="208"/>
        <w:gridCol w:w="2514"/>
        <w:gridCol w:w="403"/>
        <w:gridCol w:w="844"/>
        <w:gridCol w:w="1949"/>
      </w:tblGrid>
      <w:tr>
        <w:tc>
          <w:tcPr>
            <w:tcW w:type="dxa" w:w="2890"/>
            <w:tcBorders>
              <w:bottom w:color="000000" w:sz="4" w:val="single"/>
            </w:tcBorders>
            <w:shd w:fill="auto" w:val="clear"/>
          </w:tcPr>
          <w:p w14:paraId="A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3"/>
            <w:gridSpan w:val="2"/>
            <w:shd w:fill="auto" w:val="clear"/>
          </w:tcPr>
          <w:p w14:paraId="B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514"/>
            <w:tcBorders>
              <w:bottom w:color="000000" w:sz="4" w:val="single"/>
            </w:tcBorders>
            <w:shd w:fill="auto" w:val="clear"/>
          </w:tcPr>
          <w:p w14:paraId="B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03"/>
            <w:shd w:fill="auto" w:val="clear"/>
          </w:tcPr>
          <w:p w14:paraId="B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793"/>
            <w:gridSpan w:val="2"/>
            <w:tcBorders>
              <w:bottom w:color="000000" w:sz="4" w:val="single"/>
            </w:tcBorders>
            <w:shd w:fill="auto" w:val="clear"/>
          </w:tcPr>
          <w:p w14:paraId="B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890"/>
            <w:tcBorders>
              <w:top w:color="000000" w:sz="4" w:val="single"/>
            </w:tcBorders>
            <w:shd w:fill="auto" w:val="clear"/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type="dxa" w:w="403"/>
            <w:gridSpan w:val="2"/>
            <w:shd w:fill="auto" w:val="clea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514"/>
            <w:tcBorders>
              <w:top w:color="000000" w:sz="4" w:val="single"/>
            </w:tcBorders>
            <w:shd w:fill="auto" w:val="clear"/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type="dxa" w:w="403"/>
            <w:shd w:fill="auto" w:val="clear"/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93"/>
            <w:gridSpan w:val="2"/>
            <w:tcBorders>
              <w:top w:color="000000" w:sz="4" w:val="single"/>
            </w:tcBorders>
            <w:shd w:fill="auto" w:val="clea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расшифровка подписи</w:t>
            </w:r>
          </w:p>
        </w:tc>
      </w:tr>
      <w:tr>
        <w:tc>
          <w:tcPr>
            <w:tcW w:type="dxa" w:w="3085"/>
            <w:gridSpan w:val="2"/>
            <w:shd w:fill="auto" w:val="clear"/>
          </w:tcPr>
          <w:p w14:paraId="B9000000">
            <w:pPr>
              <w:widowControl w:val="1"/>
              <w:spacing w:after="0" w:before="24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type="dxa" w:w="3969"/>
            <w:gridSpan w:val="4"/>
            <w:tcBorders>
              <w:bottom w:color="000000" w:sz="4" w:val="single"/>
            </w:tcBorders>
            <w:shd w:fill="auto" w:val="clear"/>
          </w:tcPr>
          <w:p w14:paraId="B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49"/>
          </w:tcPr>
          <w:p/>
        </w:tc>
      </w:tr>
    </w:tbl>
    <w:p w14:paraId="BB000000">
      <w:pPr>
        <w:widowControl w:val="1"/>
        <w:spacing w:after="0" w:line="240" w:lineRule="auto"/>
        <w:ind/>
        <w:rPr>
          <w:rFonts w:ascii="Times New Roman" w:hAnsi="Times New Roman"/>
          <w:sz w:val="20"/>
        </w:rPr>
      </w:pPr>
    </w:p>
    <w:p w14:paraId="B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BD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ЛИСТ СОГЛАСОВАНИЯ</w:t>
      </w:r>
    </w:p>
    <w:p w14:paraId="BE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 Крапивинского муниципального округа</w:t>
      </w:r>
    </w:p>
    <w:p w14:paraId="BF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№_______ от ________________</w:t>
      </w:r>
    </w:p>
    <w:p w14:paraId="C0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«Об утверждении Порядка использования бюджетных средств, поступивших от туристического налога»</w:t>
      </w:r>
    </w:p>
    <w:tbl>
      <w:tblPr>
        <w:tblStyle w:val="Style_7"/>
        <w:tblpPr w:bottomFromText="0" w:horzAnchor="margin" w:leftFromText="180" w:rightFromText="180" w:tblpXSpec="left" w:tblpY="354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58"/>
        <w:gridCol w:w="3694"/>
        <w:gridCol w:w="1595"/>
        <w:gridCol w:w="1740"/>
      </w:tblGrid>
      <w:tr>
        <w:trPr>
          <w:trHeight w:hRule="atLeast" w:val="450"/>
        </w:trPr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type="dxa" w:w="1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Роспись</w:t>
            </w:r>
          </w:p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391"/>
        </w:trPr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Бобровская</w:t>
            </w:r>
            <w:r>
              <w:rPr>
                <w:rFonts w:ascii="Times New Roman" w:hAnsi="Times New Roman"/>
                <w:sz w:val="28"/>
              </w:rPr>
              <w:t xml:space="preserve"> Р.В.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</w:t>
            </w:r>
            <w:r>
              <w:rPr>
                <w:rFonts w:ascii="Times New Roman" w:hAnsi="Times New Roman"/>
                <w:sz w:val="28"/>
              </w:rPr>
              <w:t xml:space="preserve">ь </w:t>
            </w:r>
            <w:r>
              <w:rPr>
                <w:rFonts w:ascii="Times New Roman" w:hAnsi="Times New Roman"/>
                <w:sz w:val="28"/>
              </w:rPr>
              <w:t>главы Крапивинского муниципального округа (по экономике)</w:t>
            </w:r>
          </w:p>
        </w:tc>
        <w:tc>
          <w:tcPr>
            <w:tcW w:type="dxa" w:w="1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488"/>
        </w:trPr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Баштанова А.Н.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</w:rPr>
              <w:t>Ф</w:t>
            </w:r>
            <w:r>
              <w:rPr>
                <w:rFonts w:ascii="Times New Roman" w:hAnsi="Times New Roman"/>
                <w:sz w:val="28"/>
              </w:rPr>
              <w:t>инансового управления  администрации Крапивинского муниципального округа</w:t>
            </w:r>
          </w:p>
        </w:tc>
        <w:tc>
          <w:tcPr>
            <w:tcW w:type="dxa" w:w="1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268"/>
        </w:trPr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Жилин Р. Ю.</w:t>
            </w: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 юридического отдела администрации Крапивинского муниципального округа</w:t>
            </w:r>
          </w:p>
        </w:tc>
        <w:tc>
          <w:tcPr>
            <w:tcW w:type="dxa" w:w="1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691"/>
        </w:trPr>
        <w:tc>
          <w:tcPr>
            <w:tcW w:type="dxa" w:w="22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widowControl w:val="1"/>
              <w:spacing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Прокуратура Крапивинского  района</w:t>
            </w:r>
          </w:p>
        </w:tc>
        <w:tc>
          <w:tcPr>
            <w:tcW w:type="dxa" w:w="1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D7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D8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D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DA000000">
      <w:pPr>
        <w:widowControl w:val="1"/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ЛИСТ РАССЫЛКИ</w:t>
      </w:r>
    </w:p>
    <w:p w14:paraId="DB000000">
      <w:pPr>
        <w:widowControl w:val="1"/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14:paraId="D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остановление </w:t>
      </w:r>
      <w:r>
        <w:rPr>
          <w:rFonts w:ascii="Times New Roman" w:hAnsi="Times New Roman"/>
          <w:sz w:val="28"/>
        </w:rPr>
        <w:t>администрации Крапивинского муниципального округа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DD000000">
      <w:pPr>
        <w:widowControl w:val="1"/>
        <w:spacing w:after="0" w:line="240" w:lineRule="auto"/>
        <w:ind w:firstLine="113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от _______________ № ____</w:t>
      </w:r>
    </w:p>
    <w:p w14:paraId="D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</w:p>
    <w:p w14:paraId="DF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>Об утверждении Порядка использования бюджетных средств, поступивших от туристического налога</w:t>
      </w:r>
      <w:r>
        <w:rPr>
          <w:rFonts w:ascii="Times New Roman" w:hAnsi="Times New Roman"/>
          <w:b w:val="1"/>
          <w:sz w:val="28"/>
        </w:rPr>
        <w:t>»</w:t>
      </w:r>
    </w:p>
    <w:p w14:paraId="E0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7"/>
        <w:tblW w:type="auto" w:w="0"/>
        <w:tblLayout w:type="fixed"/>
      </w:tblPr>
      <w:tblGrid>
        <w:gridCol w:w="3085"/>
        <w:gridCol w:w="3863"/>
      </w:tblGrid>
      <w:tr>
        <w:trPr>
          <w:trHeight w:hRule="atLeast" w:val="573"/>
        </w:trPr>
        <w:tc>
          <w:tcPr>
            <w:tcW w:type="dxa" w:w="3085"/>
            <w:tcBorders>
              <w:bottom w:color="000000" w:sz="4" w:val="single"/>
            </w:tcBorders>
            <w:shd w:fill="auto" w:val="clear"/>
            <w:vAlign w:val="center"/>
          </w:tcPr>
          <w:p w14:paraId="E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Бобровская Р.В.</w:t>
            </w:r>
          </w:p>
        </w:tc>
        <w:tc>
          <w:tcPr>
            <w:tcW w:type="dxa" w:w="3863"/>
            <w:tcBorders>
              <w:bottom w:color="000000" w:sz="4" w:val="single"/>
            </w:tcBorders>
            <w:shd w:fill="auto" w:val="clea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color w:val="000080"/>
                <w:sz w:val="32"/>
              </w:rPr>
            </w:pPr>
          </w:p>
        </w:tc>
      </w:tr>
      <w:tr>
        <w:trPr>
          <w:trHeight w:hRule="atLeast" w:val="573"/>
        </w:trPr>
        <w:tc>
          <w:tcPr>
            <w:tcW w:type="dxa" w:w="3085"/>
            <w:tcBorders>
              <w:bottom w:color="000000" w:sz="4" w:val="single"/>
            </w:tcBorders>
            <w:shd w:fill="auto" w:val="clear"/>
            <w:vAlign w:val="center"/>
          </w:tcPr>
          <w:p w14:paraId="E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Салтымакова И.Н.</w:t>
            </w:r>
          </w:p>
        </w:tc>
        <w:tc>
          <w:tcPr>
            <w:tcW w:type="dxa" w:w="3863"/>
            <w:tcBorders>
              <w:bottom w:color="000000" w:sz="4" w:val="single"/>
            </w:tcBorders>
            <w:shd w:fill="auto" w:val="clear"/>
          </w:tcPr>
          <w:p w14:paraId="E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32"/>
              </w:rPr>
            </w:pPr>
          </w:p>
        </w:tc>
      </w:tr>
      <w:tr>
        <w:trPr>
          <w:trHeight w:hRule="atLeast" w:val="573"/>
        </w:trPr>
        <w:tc>
          <w:tcPr>
            <w:tcW w:type="dxa" w:w="3085"/>
            <w:tcBorders>
              <w:bottom w:color="000000" w:sz="4" w:val="single"/>
            </w:tcBorders>
            <w:shd w:fill="auto" w:val="clear"/>
            <w:vAlign w:val="center"/>
          </w:tcPr>
          <w:p w14:paraId="E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Арнольд Н.Ф.</w:t>
            </w:r>
          </w:p>
        </w:tc>
        <w:tc>
          <w:tcPr>
            <w:tcW w:type="dxa" w:w="3863"/>
            <w:tcBorders>
              <w:bottom w:color="000000" w:sz="4" w:val="single"/>
            </w:tcBorders>
            <w:shd w:fill="auto" w:val="clear"/>
          </w:tcPr>
          <w:p w14:paraId="E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32"/>
              </w:rPr>
            </w:pPr>
          </w:p>
        </w:tc>
      </w:tr>
      <w:tr>
        <w:trPr>
          <w:trHeight w:hRule="atLeast" w:val="573"/>
        </w:trPr>
        <w:tc>
          <w:tcPr>
            <w:tcW w:type="dxa" w:w="3085"/>
            <w:tcBorders>
              <w:bottom w:color="000000" w:sz="4" w:val="single"/>
            </w:tcBorders>
            <w:shd w:fill="auto" w:val="clear"/>
            <w:vAlign w:val="center"/>
          </w:tcPr>
          <w:p w14:paraId="E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Слонов Е.А.</w:t>
            </w:r>
          </w:p>
        </w:tc>
        <w:tc>
          <w:tcPr>
            <w:tcW w:type="dxa" w:w="3863"/>
            <w:tcBorders>
              <w:bottom w:color="000000" w:sz="4" w:val="single"/>
            </w:tcBorders>
            <w:shd w:fill="auto" w:val="clea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32"/>
              </w:rPr>
            </w:pPr>
          </w:p>
        </w:tc>
      </w:tr>
      <w:tr>
        <w:trPr>
          <w:trHeight w:hRule="atLeast" w:val="573"/>
        </w:trPr>
        <w:tc>
          <w:tcPr>
            <w:tcW w:type="dxa" w:w="3085"/>
            <w:tcBorders>
              <w:top w:color="000000" w:sz="4" w:val="single"/>
              <w:bottom w:color="000000" w:sz="4" w:val="single"/>
            </w:tcBorders>
            <w:shd w:fill="auto" w:val="clear"/>
            <w:vAlign w:val="center"/>
          </w:tcPr>
          <w:p w14:paraId="E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Голошумова Е.А.</w:t>
            </w:r>
          </w:p>
        </w:tc>
        <w:tc>
          <w:tcPr>
            <w:tcW w:type="dxa" w:w="3863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32"/>
              </w:rPr>
            </w:pPr>
          </w:p>
        </w:tc>
      </w:tr>
      <w:tr>
        <w:trPr>
          <w:trHeight w:hRule="atLeast" w:val="573"/>
        </w:trPr>
        <w:tc>
          <w:tcPr>
            <w:tcW w:type="dxa" w:w="3085"/>
            <w:tcBorders>
              <w:top w:color="000000" w:sz="4" w:val="single"/>
              <w:bottom w:color="000000" w:sz="4" w:val="single"/>
            </w:tcBorders>
            <w:shd w:fill="auto" w:val="clear"/>
            <w:vAlign w:val="center"/>
          </w:tcPr>
          <w:p w14:paraId="E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Реванченко А.А.</w:t>
            </w:r>
          </w:p>
        </w:tc>
        <w:tc>
          <w:tcPr>
            <w:tcW w:type="dxa" w:w="3863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32"/>
              </w:rPr>
            </w:pPr>
          </w:p>
        </w:tc>
      </w:tr>
      <w:tr>
        <w:trPr>
          <w:trHeight w:hRule="atLeast" w:val="573"/>
        </w:trPr>
        <w:tc>
          <w:tcPr>
            <w:tcW w:type="dxa" w:w="3085"/>
            <w:tcBorders>
              <w:top w:color="000000" w:sz="4" w:val="single"/>
              <w:bottom w:color="000000" w:sz="4" w:val="single"/>
            </w:tcBorders>
            <w:shd w:fill="auto" w:val="clear"/>
            <w:vAlign w:val="center"/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Баштанова А.Н.</w:t>
            </w:r>
          </w:p>
        </w:tc>
        <w:tc>
          <w:tcPr>
            <w:tcW w:type="dxa" w:w="3863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sz w:val="32"/>
              </w:rPr>
            </w:pPr>
          </w:p>
        </w:tc>
      </w:tr>
    </w:tbl>
    <w:p w14:paraId="EF000000">
      <w:pPr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5"/>
      <w:pgMar w:bottom="851" w:footer="0" w:gutter="0" w:header="454" w:left="1418" w:right="851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4" w:type="paragraph">
    <w:name w:val="List Paragraph"/>
    <w:basedOn w:val="Style_8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8_ch"/>
    <w:link w:val="Style_4"/>
  </w:style>
  <w:style w:styleId="Style_2" w:type="paragraph">
    <w:name w:val="No Spacing"/>
    <w:link w:val="Style_2_ch"/>
    <w:pPr>
      <w:widowControl w:val="1"/>
      <w:spacing w:after="0" w:line="240" w:lineRule="auto"/>
      <w:ind/>
    </w:pPr>
  </w:style>
  <w:style w:styleId="Style_2_ch" w:type="character">
    <w:name w:val="No Spacing"/>
    <w:link w:val="Style_2"/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ConsPlusCell"/>
    <w:link w:val="Style_1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1_ch" w:type="character">
    <w:name w:val="ConsPlusCell"/>
    <w:link w:val="Style_11"/>
    <w:rPr>
      <w:rFonts w:ascii="Courier New" w:hAnsi="Courier New"/>
      <w:sz w:val="20"/>
    </w:rPr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8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6" w:type="paragraph">
    <w:name w:val="ConsPlusTitle"/>
    <w:link w:val="Style_6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6_ch" w:type="character">
    <w:name w:val="ConsPlusTitle"/>
    <w:link w:val="Style_6"/>
    <w:rPr>
      <w:rFonts w:ascii="Calibri" w:hAnsi="Calibri"/>
      <w:b w:val="1"/>
    </w:rPr>
  </w:style>
  <w:style w:styleId="Style_16" w:type="paragraph">
    <w:name w:val="ConsPlusDocList"/>
    <w:link w:val="Style_1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DocList"/>
    <w:link w:val="Style_16"/>
    <w:rPr>
      <w:rFonts w:ascii="Courier New" w:hAnsi="Courier New"/>
      <w:sz w:val="20"/>
    </w:rPr>
  </w:style>
  <w:style w:styleId="Style_17" w:type="paragraph">
    <w:name w:val="footer"/>
    <w:basedOn w:val="Style_8"/>
    <w:link w:val="Style_17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footer"/>
    <w:basedOn w:val="Style_8_ch"/>
    <w:link w:val="Style_17"/>
  </w:style>
  <w:style w:styleId="Style_18" w:type="paragraph">
    <w:name w:val="ConsPlusJurTerm"/>
    <w:link w:val="Style_18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18_ch" w:type="character">
    <w:name w:val="ConsPlusJurTerm"/>
    <w:link w:val="Style_18"/>
    <w:rPr>
      <w:rFonts w:ascii="Tahoma" w:hAnsi="Tahoma"/>
      <w:sz w:val="26"/>
    </w:rPr>
  </w:style>
  <w:style w:styleId="Style_19" w:type="paragraph">
    <w:name w:val="Application!Приложение"/>
    <w:link w:val="Style_19_ch"/>
    <w:pPr>
      <w:widowControl w:val="1"/>
      <w:spacing w:after="120" w:before="120" w:line="240" w:lineRule="auto"/>
      <w:ind/>
      <w:jc w:val="right"/>
    </w:pPr>
    <w:rPr>
      <w:rFonts w:ascii="Arial" w:hAnsi="Arial"/>
      <w:b w:val="1"/>
      <w:sz w:val="32"/>
    </w:rPr>
  </w:style>
  <w:style w:styleId="Style_19_ch" w:type="character">
    <w:name w:val="Application!Приложение"/>
    <w:link w:val="Style_19"/>
    <w:rPr>
      <w:rFonts w:ascii="Arial" w:hAnsi="Arial"/>
      <w:b w:val="1"/>
      <w:sz w:val="32"/>
    </w:rPr>
  </w:style>
  <w:style w:styleId="Style_5" w:type="paragraph">
    <w:name w:val="Основной текст2"/>
    <w:basedOn w:val="Style_8"/>
    <w:link w:val="Style_5_ch"/>
    <w:pPr>
      <w:widowControl w:val="0"/>
      <w:spacing w:after="0" w:line="322" w:lineRule="exact"/>
      <w:ind/>
      <w:jc w:val="right"/>
    </w:pPr>
    <w:rPr>
      <w:sz w:val="27"/>
    </w:rPr>
  </w:style>
  <w:style w:styleId="Style_5_ch" w:type="character">
    <w:name w:val="Основной текст2"/>
    <w:basedOn w:val="Style_8_ch"/>
    <w:link w:val="Style_5"/>
    <w:rPr>
      <w:sz w:val="27"/>
    </w:rPr>
  </w:style>
  <w:style w:styleId="Style_20" w:type="paragraph">
    <w:name w:val="ConsPlusNormal"/>
    <w:link w:val="Style_20_ch"/>
    <w:pPr>
      <w:widowControl w:val="0"/>
      <w:spacing w:after="0" w:line="240" w:lineRule="auto"/>
      <w:ind/>
    </w:pPr>
    <w:rPr>
      <w:rFonts w:ascii="Calibri" w:hAnsi="Calibri"/>
    </w:rPr>
  </w:style>
  <w:style w:styleId="Style_20_ch" w:type="character">
    <w:name w:val="ConsPlusNormal"/>
    <w:link w:val="Style_20"/>
    <w:rPr>
      <w:rFonts w:ascii="Calibri" w:hAnsi="Calibri"/>
    </w:rPr>
  </w:style>
  <w:style w:styleId="Style_21" w:type="paragraph">
    <w:name w:val="toc 3"/>
    <w:next w:val="Style_8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ConsPlusNonformat"/>
    <w:link w:val="Style_2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2_ch" w:type="character">
    <w:name w:val="ConsPlusNonformat"/>
    <w:link w:val="Style_22"/>
    <w:rPr>
      <w:rFonts w:ascii="Courier New" w:hAnsi="Courier New"/>
      <w:sz w:val="20"/>
    </w:rPr>
  </w:style>
  <w:style w:styleId="Style_23" w:type="paragraph">
    <w:name w:val="heading 5"/>
    <w:basedOn w:val="Style_8"/>
    <w:next w:val="Style_8"/>
    <w:link w:val="Style_23_ch"/>
    <w:uiPriority w:val="9"/>
    <w:qFormat/>
    <w:pPr>
      <w:keepNext w:val="1"/>
      <w:widowControl w:val="1"/>
      <w:spacing w:after="0" w:before="120" w:line="240" w:lineRule="auto"/>
      <w:ind/>
      <w:jc w:val="center"/>
      <w:outlineLvl w:val="4"/>
    </w:pPr>
    <w:rPr>
      <w:rFonts w:ascii="Times New Roman" w:hAnsi="Times New Roman"/>
      <w:b w:val="1"/>
      <w:sz w:val="28"/>
    </w:rPr>
  </w:style>
  <w:style w:styleId="Style_23_ch" w:type="character">
    <w:name w:val="heading 5"/>
    <w:basedOn w:val="Style_8_ch"/>
    <w:link w:val="Style_23"/>
    <w:rPr>
      <w:rFonts w:ascii="Times New Roman" w:hAnsi="Times New Roman"/>
      <w:b w:val="1"/>
      <w:sz w:val="28"/>
    </w:rPr>
  </w:style>
  <w:style w:styleId="Style_24" w:type="paragraph">
    <w:name w:val="ConsPlusTitlePage"/>
    <w:link w:val="Style_24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24_ch" w:type="character">
    <w:name w:val="ConsPlusTitlePage"/>
    <w:link w:val="Style_24"/>
    <w:rPr>
      <w:rFonts w:ascii="Tahoma" w:hAnsi="Tahoma"/>
      <w:sz w:val="20"/>
    </w:rPr>
  </w:style>
  <w:style w:styleId="Style_25" w:type="paragraph">
    <w:name w:val="heading 1"/>
    <w:basedOn w:val="Style_8"/>
    <w:next w:val="Style_8"/>
    <w:link w:val="Style_25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5_ch" w:type="character">
    <w:name w:val="heading 1"/>
    <w:basedOn w:val="Style_8_ch"/>
    <w:link w:val="Style_25"/>
    <w:rPr>
      <w:rFonts w:asciiTheme="majorAscii" w:hAnsiTheme="majorHAnsi"/>
      <w:b w:val="1"/>
      <w:color w:themeColor="accent1" w:themeShade="BF" w:val="376092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Hyperlink"/>
    <w:basedOn w:val="Style_26"/>
    <w:link w:val="Style_27_ch"/>
    <w:rPr>
      <w:color w:val="0000FF"/>
      <w:u w:val="none"/>
    </w:rPr>
  </w:style>
  <w:style w:styleId="Style_27_ch" w:type="character">
    <w:name w:val="Hyperlink"/>
    <w:basedOn w:val="Style_26_ch"/>
    <w:link w:val="Style_27"/>
    <w:rPr>
      <w:color w:val="0000FF"/>
      <w:u w:val="non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8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Знак Знак1 Знак Знак Знак Знак"/>
    <w:basedOn w:val="Style_8"/>
    <w:link w:val="Style_3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0_ch" w:type="character">
    <w:name w:val="Знак Знак1 Знак Знак Знак Знак"/>
    <w:basedOn w:val="Style_8_ch"/>
    <w:link w:val="Style_30"/>
    <w:rPr>
      <w:rFonts w:ascii="Verdana" w:hAnsi="Verdana"/>
      <w:sz w:val="20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Balloon Text"/>
    <w:basedOn w:val="Style_8"/>
    <w:link w:val="Style_3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32_ch" w:type="character">
    <w:name w:val="Balloon Text"/>
    <w:basedOn w:val="Style_8_ch"/>
    <w:link w:val="Style_32"/>
    <w:rPr>
      <w:rFonts w:ascii="Tahoma" w:hAnsi="Tahoma"/>
      <w:sz w:val="16"/>
    </w:rPr>
  </w:style>
  <w:style w:styleId="Style_33" w:type="paragraph">
    <w:name w:val="toc 9"/>
    <w:next w:val="Style_8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toc 8"/>
    <w:next w:val="Style_8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1" w:type="paragraph">
    <w:name w:val="head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8_ch"/>
    <w:link w:val="Style_1"/>
  </w:style>
  <w:style w:styleId="Style_35" w:type="paragraph">
    <w:name w:val="toc 5"/>
    <w:next w:val="Style_8"/>
    <w:link w:val="Style_3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ConsPlusTextList"/>
    <w:link w:val="Style_36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6_ch" w:type="character">
    <w:name w:val="ConsPlusTextList"/>
    <w:link w:val="Style_36"/>
    <w:rPr>
      <w:rFonts w:ascii="Arial" w:hAnsi="Arial"/>
      <w:sz w:val="20"/>
    </w:rPr>
  </w:style>
  <w:style w:styleId="Style_37" w:type="paragraph">
    <w:name w:val="Subtitle"/>
    <w:next w:val="Style_8"/>
    <w:link w:val="Style_3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7_ch" w:type="character">
    <w:name w:val="Subtitle"/>
    <w:link w:val="Style_37"/>
    <w:rPr>
      <w:rFonts w:ascii="XO Thames" w:hAnsi="XO Thames"/>
      <w:i w:val="1"/>
      <w:sz w:val="24"/>
    </w:rPr>
  </w:style>
  <w:style w:styleId="Style_38" w:type="paragraph">
    <w:name w:val="Title"/>
    <w:next w:val="Style_8"/>
    <w:link w:val="Style_3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8_ch" w:type="character">
    <w:name w:val="Title"/>
    <w:link w:val="Style_38"/>
    <w:rPr>
      <w:rFonts w:ascii="XO Thames" w:hAnsi="XO Thames"/>
      <w:b w:val="1"/>
      <w:caps w:val="1"/>
      <w:sz w:val="40"/>
    </w:rPr>
  </w:style>
  <w:style w:styleId="Style_39" w:type="paragraph">
    <w:name w:val="heading 4"/>
    <w:basedOn w:val="Style_8"/>
    <w:next w:val="Style_8"/>
    <w:link w:val="Style_39_ch"/>
    <w:uiPriority w:val="9"/>
    <w:qFormat/>
    <w:pPr>
      <w:keepNext w:val="1"/>
      <w:widowControl w:val="1"/>
      <w:spacing w:after="0" w:line="240" w:lineRule="auto"/>
      <w:ind/>
      <w:jc w:val="center"/>
      <w:outlineLvl w:val="3"/>
    </w:pPr>
    <w:rPr>
      <w:rFonts w:ascii="Times New Roman" w:hAnsi="Times New Roman"/>
      <w:b w:val="1"/>
      <w:sz w:val="36"/>
    </w:rPr>
  </w:style>
  <w:style w:styleId="Style_39_ch" w:type="character">
    <w:name w:val="heading 4"/>
    <w:basedOn w:val="Style_8_ch"/>
    <w:link w:val="Style_39"/>
    <w:rPr>
      <w:rFonts w:ascii="Times New Roman" w:hAnsi="Times New Roman"/>
      <w:b w:val="1"/>
      <w:sz w:val="36"/>
    </w:rPr>
  </w:style>
  <w:style w:styleId="Style_40" w:type="paragraph">
    <w:name w:val="heading 2"/>
    <w:next w:val="Style_8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3" w:type="table">
    <w:name w:val="Table Grid"/>
    <w:basedOn w:val="Style_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2021-08-27T07:27:00Z</dcterms:created>
  <dcterms:modified xsi:type="dcterms:W3CDTF">2026-07-01T08:18:48Z</dcterms:modified>
</cp:coreProperties>
</file>