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04" w:rsidRPr="00BC3104" w:rsidRDefault="00BC3104" w:rsidP="00BC3104">
      <w:pPr>
        <w:keepNext w:val="0"/>
        <w:keepLines w:val="0"/>
        <w:autoSpaceDE w:val="0"/>
        <w:autoSpaceDN w:val="0"/>
        <w:adjustRightInd w:val="0"/>
        <w:spacing w:before="0"/>
        <w:contextualSpacing/>
        <w:jc w:val="center"/>
        <w:rPr>
          <w:rFonts w:ascii="Times New Roman" w:eastAsia="Times New Roman" w:hAnsi="Times New Roman" w:cs="Times New Roman"/>
          <w:color w:val="auto"/>
          <w:sz w:val="20"/>
          <w:szCs w:val="20"/>
          <w:lang w:eastAsia="en-US"/>
        </w:rPr>
      </w:pPr>
      <w:r w:rsidRPr="00BC3104">
        <w:rPr>
          <w:rFonts w:ascii="Times New Roman" w:eastAsia="Times New Roman" w:hAnsi="Times New Roman" w:cs="Times New Roman"/>
          <w:color w:val="auto"/>
          <w:sz w:val="20"/>
          <w:szCs w:val="20"/>
          <w:lang w:eastAsia="en-US"/>
        </w:rPr>
        <w:t xml:space="preserve">XXIII. </w:t>
      </w:r>
      <w:bookmarkStart w:id="0" w:name="_GoBack"/>
      <w:r w:rsidRPr="00BC3104">
        <w:rPr>
          <w:rFonts w:ascii="Times New Roman" w:eastAsia="Times New Roman" w:hAnsi="Times New Roman" w:cs="Times New Roman"/>
          <w:color w:val="auto"/>
          <w:sz w:val="20"/>
          <w:szCs w:val="20"/>
          <w:lang w:eastAsia="en-US"/>
        </w:rPr>
        <w:t>Применение и реализация пиротехнических изделий</w:t>
      </w:r>
      <w:bookmarkEnd w:id="0"/>
    </w:p>
    <w:p w:rsidR="00BC3104" w:rsidRPr="00BC3104" w:rsidRDefault="00BC3104" w:rsidP="00BC3104">
      <w:pPr>
        <w:keepNext w:val="0"/>
        <w:keepLines w:val="0"/>
        <w:autoSpaceDE w:val="0"/>
        <w:autoSpaceDN w:val="0"/>
        <w:adjustRightInd w:val="0"/>
        <w:spacing w:before="0"/>
        <w:contextualSpacing/>
        <w:jc w:val="center"/>
        <w:rPr>
          <w:rFonts w:ascii="Times New Roman" w:eastAsia="Times New Roman" w:hAnsi="Times New Roman" w:cs="Times New Roman"/>
          <w:color w:val="auto"/>
          <w:sz w:val="20"/>
          <w:szCs w:val="20"/>
          <w:lang w:eastAsia="en-US"/>
        </w:rPr>
      </w:pPr>
      <w:r w:rsidRPr="00BC3104">
        <w:rPr>
          <w:rFonts w:ascii="Times New Roman" w:eastAsia="Times New Roman" w:hAnsi="Times New Roman" w:cs="Times New Roman"/>
          <w:color w:val="auto"/>
          <w:sz w:val="20"/>
          <w:szCs w:val="20"/>
          <w:lang w:eastAsia="en-US"/>
        </w:rPr>
        <w:t>бытового назначения</w:t>
      </w:r>
    </w:p>
    <w:p w:rsidR="00BC3104" w:rsidRPr="00BC3104" w:rsidRDefault="00BC3104" w:rsidP="00BC3104">
      <w:pPr>
        <w:autoSpaceDE w:val="0"/>
        <w:autoSpaceDN w:val="0"/>
        <w:adjustRightInd w:val="0"/>
        <w:contextualSpacing/>
        <w:jc w:val="both"/>
        <w:rPr>
          <w:sz w:val="20"/>
          <w:szCs w:val="20"/>
          <w:lang w:eastAsia="en-US"/>
        </w:rPr>
      </w:pPr>
    </w:p>
    <w:p w:rsidR="00BC3104" w:rsidRPr="00BC3104" w:rsidRDefault="00BC3104" w:rsidP="00BC3104">
      <w:pPr>
        <w:autoSpaceDE w:val="0"/>
        <w:autoSpaceDN w:val="0"/>
        <w:adjustRightInd w:val="0"/>
        <w:ind w:firstLine="540"/>
        <w:contextualSpacing/>
        <w:jc w:val="both"/>
        <w:rPr>
          <w:sz w:val="20"/>
          <w:szCs w:val="20"/>
          <w:lang w:eastAsia="en-US"/>
        </w:rPr>
      </w:pPr>
      <w:r w:rsidRPr="00BC3104">
        <w:rPr>
          <w:sz w:val="20"/>
          <w:szCs w:val="20"/>
          <w:lang w:eastAsia="en-US"/>
        </w:rPr>
        <w:t>441. При подготовке и проведении фейерверков в местах массового пребывания людей с использованием пиротехнических изделий II - III класса опасности:</w:t>
      </w:r>
    </w:p>
    <w:p w:rsidR="00BC3104" w:rsidRPr="00BC3104" w:rsidRDefault="00BC3104" w:rsidP="00BC3104">
      <w:pPr>
        <w:autoSpaceDE w:val="0"/>
        <w:autoSpaceDN w:val="0"/>
        <w:adjustRightInd w:val="0"/>
        <w:contextualSpacing/>
        <w:jc w:val="both"/>
        <w:rPr>
          <w:sz w:val="20"/>
          <w:szCs w:val="20"/>
          <w:lang w:eastAsia="en-US"/>
        </w:rPr>
      </w:pPr>
      <w:r w:rsidRPr="00BC3104">
        <w:rPr>
          <w:sz w:val="20"/>
          <w:szCs w:val="20"/>
          <w:lang w:eastAsia="en-US"/>
        </w:rPr>
        <w:t xml:space="preserve">(в ред. </w:t>
      </w:r>
      <w:hyperlink r:id="rId5" w:history="1">
        <w:r w:rsidRPr="00BC3104">
          <w:rPr>
            <w:color w:val="0000FF"/>
            <w:sz w:val="20"/>
            <w:szCs w:val="20"/>
            <w:lang w:eastAsia="en-US"/>
          </w:rPr>
          <w:t>Постановления</w:t>
        </w:r>
      </w:hyperlink>
      <w:r w:rsidRPr="00BC3104">
        <w:rPr>
          <w:sz w:val="20"/>
          <w:szCs w:val="20"/>
          <w:lang w:eastAsia="en-US"/>
        </w:rPr>
        <w:t xml:space="preserve"> Правительства РФ от 24.10.2022 N 1885)</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w:t>
      </w:r>
      <w:proofErr w:type="gramStart"/>
      <w:r w:rsidRPr="00BC3104">
        <w:rPr>
          <w:sz w:val="20"/>
          <w:szCs w:val="20"/>
          <w:lang w:eastAsia="en-US"/>
        </w:rPr>
        <w:t>ии и ее</w:t>
      </w:r>
      <w:proofErr w:type="gramEnd"/>
      <w:r w:rsidRPr="00BC3104">
        <w:rPr>
          <w:sz w:val="20"/>
          <w:szCs w:val="20"/>
          <w:lang w:eastAsia="en-US"/>
        </w:rPr>
        <w:t xml:space="preserve"> утилизации;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г) безопасность при устройстве фейерверков возлагается на организацию и (или) физических лиц, проводящих фейерверк;</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442. Применение пиротехнических изделий запрещается:</w:t>
      </w:r>
    </w:p>
    <w:p w:rsidR="00BC3104" w:rsidRPr="00BC3104" w:rsidRDefault="00BC3104" w:rsidP="00BC3104">
      <w:pPr>
        <w:autoSpaceDE w:val="0"/>
        <w:autoSpaceDN w:val="0"/>
        <w:adjustRightInd w:val="0"/>
        <w:contextualSpacing/>
        <w:jc w:val="both"/>
        <w:rPr>
          <w:sz w:val="20"/>
          <w:szCs w:val="20"/>
          <w:lang w:eastAsia="en-US"/>
        </w:rPr>
      </w:pPr>
      <w:r w:rsidRPr="00BC3104">
        <w:rPr>
          <w:sz w:val="20"/>
          <w:szCs w:val="20"/>
          <w:lang w:eastAsia="en-US"/>
        </w:rPr>
        <w:t xml:space="preserve">(в ред. </w:t>
      </w:r>
      <w:hyperlink r:id="rId6" w:history="1">
        <w:r w:rsidRPr="00BC3104">
          <w:rPr>
            <w:color w:val="0000FF"/>
            <w:sz w:val="20"/>
            <w:szCs w:val="20"/>
            <w:lang w:eastAsia="en-US"/>
          </w:rPr>
          <w:t>Постановления</w:t>
        </w:r>
      </w:hyperlink>
      <w:r w:rsidRPr="00BC3104">
        <w:rPr>
          <w:sz w:val="20"/>
          <w:szCs w:val="20"/>
          <w:lang w:eastAsia="en-US"/>
        </w:rPr>
        <w:t xml:space="preserve"> Правительства РФ от 24.10.2022 N 1885)</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rsidR="00BC3104" w:rsidRPr="00BC3104" w:rsidRDefault="00BC3104" w:rsidP="00BC3104">
      <w:pPr>
        <w:autoSpaceDE w:val="0"/>
        <w:autoSpaceDN w:val="0"/>
        <w:adjustRightInd w:val="0"/>
        <w:contextualSpacing/>
        <w:jc w:val="both"/>
        <w:rPr>
          <w:sz w:val="20"/>
          <w:szCs w:val="20"/>
          <w:lang w:eastAsia="en-US"/>
        </w:rPr>
      </w:pPr>
      <w:r w:rsidRPr="00BC3104">
        <w:rPr>
          <w:sz w:val="20"/>
          <w:szCs w:val="20"/>
          <w:lang w:eastAsia="en-US"/>
        </w:rPr>
        <w:t>(</w:t>
      </w:r>
      <w:proofErr w:type="spellStart"/>
      <w:r w:rsidRPr="00BC3104">
        <w:rPr>
          <w:sz w:val="20"/>
          <w:szCs w:val="20"/>
          <w:lang w:eastAsia="en-US"/>
        </w:rPr>
        <w:t>пп</w:t>
      </w:r>
      <w:proofErr w:type="spellEnd"/>
      <w:r w:rsidRPr="00BC3104">
        <w:rPr>
          <w:sz w:val="20"/>
          <w:szCs w:val="20"/>
          <w:lang w:eastAsia="en-US"/>
        </w:rPr>
        <w:t xml:space="preserve">. "а" в ред. </w:t>
      </w:r>
      <w:hyperlink r:id="rId7" w:history="1">
        <w:r w:rsidRPr="00BC3104">
          <w:rPr>
            <w:color w:val="0000FF"/>
            <w:sz w:val="20"/>
            <w:szCs w:val="20"/>
            <w:lang w:eastAsia="en-US"/>
          </w:rPr>
          <w:t>Постановления</w:t>
        </w:r>
      </w:hyperlink>
      <w:r w:rsidRPr="00BC3104">
        <w:rPr>
          <w:sz w:val="20"/>
          <w:szCs w:val="20"/>
          <w:lang w:eastAsia="en-US"/>
        </w:rPr>
        <w:t xml:space="preserve"> Правительства РФ от 24.10.2022 N 1885)</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 xml:space="preserve">в) утратил силу с 1 марта 2023 года. - </w:t>
      </w:r>
      <w:hyperlink r:id="rId8" w:history="1">
        <w:r w:rsidRPr="00BC3104">
          <w:rPr>
            <w:color w:val="0000FF"/>
            <w:sz w:val="20"/>
            <w:szCs w:val="20"/>
            <w:lang w:eastAsia="en-US"/>
          </w:rPr>
          <w:t>Постановление</w:t>
        </w:r>
      </w:hyperlink>
      <w:r w:rsidRPr="00BC3104">
        <w:rPr>
          <w:sz w:val="20"/>
          <w:szCs w:val="20"/>
          <w:lang w:eastAsia="en-US"/>
        </w:rPr>
        <w:t xml:space="preserve"> Правительства РФ от 24.10.2022 N 1885;</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г) во время проведения митингов, демонстраций, шествий и пикетирования;</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е) при погодных условиях, не позволяющих обеспечить безопасность при их использовании;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ж) лицам, не преодолевшим возрастного ограничения, установленного производителем пиротехнического изделия.</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443. При хранении пиротехнических изделий на объектах розничной торговли: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необходимо соблюдать требования инструкции (руководства) по эксплуатации изделий;</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отбракованную пиротехническую продукцию необходимо хранить отдельно от годной для реализации пиротехнической продукции;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запрещается на складах и в кладовых помещениях совместное хранение пиротехнической продукции с иными товарами (изделиями);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444. В процессе реализации (продажи) пиротехнической продукции выполняются следующие требования безопасности: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lastRenderedPageBreak/>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446. На объектах торговли запрещается:</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 xml:space="preserve">б) хранить пиротехнические изделия в помещениях, не имеющих оконных проемов или систем вытяжной </w:t>
      </w:r>
      <w:proofErr w:type="spellStart"/>
      <w:r w:rsidRPr="00BC3104">
        <w:rPr>
          <w:sz w:val="20"/>
          <w:szCs w:val="20"/>
          <w:lang w:eastAsia="en-US"/>
        </w:rPr>
        <w:t>противодымной</w:t>
      </w:r>
      <w:proofErr w:type="spellEnd"/>
      <w:r w:rsidRPr="00BC3104">
        <w:rPr>
          <w:sz w:val="20"/>
          <w:szCs w:val="20"/>
          <w:lang w:eastAsia="en-US"/>
        </w:rPr>
        <w:t xml:space="preserve"> вентиляции;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в) хранить пиротехнические изделия совместно с другими горючими веществами и материалами;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д) расфасовывать изделия в торговых залах и на путях эвакуации;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е) хранить пороховые изделия совместно с капсюлями или пиротехническими изделиями в одном шкафу;</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ж) размещать упаковку (тару) с изделиями и шкафы (сейфы) с изделиями в подвальных помещениях;</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з) хранить пиротехнические изделия в подвальных помещениях.</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447. Реализация (продажа) пиротехнических изделий запрещается:</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 xml:space="preserve">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w:t>
      </w:r>
      <w:proofErr w:type="gramStart"/>
      <w:r w:rsidRPr="00BC3104">
        <w:rPr>
          <w:sz w:val="20"/>
          <w:szCs w:val="20"/>
          <w:lang w:eastAsia="en-US"/>
        </w:rPr>
        <w:t>сооружениях</w:t>
      </w:r>
      <w:proofErr w:type="gramEnd"/>
      <w:r w:rsidRPr="00BC3104">
        <w:rPr>
          <w:sz w:val="20"/>
          <w:szCs w:val="20"/>
          <w:lang w:eastAsia="en-US"/>
        </w:rPr>
        <w:t>, а также в транспортных средствах и на территориях пожароопасных производственных объектов;</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б) лицам, не достигшим 16-летнего возраста (если производителем не установлено другое возрастное ограничение);</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г) вне заводской потребительской упаковки.</w:t>
      </w:r>
    </w:p>
    <w:p w:rsidR="00BC3104" w:rsidRPr="00BC3104" w:rsidRDefault="00BC3104" w:rsidP="00BC3104">
      <w:pPr>
        <w:autoSpaceDE w:val="0"/>
        <w:autoSpaceDN w:val="0"/>
        <w:adjustRightInd w:val="0"/>
        <w:spacing w:before="200"/>
        <w:ind w:firstLine="540"/>
        <w:contextualSpacing/>
        <w:jc w:val="both"/>
        <w:rPr>
          <w:sz w:val="20"/>
          <w:szCs w:val="20"/>
          <w:lang w:eastAsia="en-US"/>
        </w:rPr>
      </w:pPr>
      <w:r w:rsidRPr="00BC3104">
        <w:rPr>
          <w:sz w:val="20"/>
          <w:szCs w:val="20"/>
          <w:lang w:eastAsia="en-US"/>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212795" w:rsidRDefault="00212795" w:rsidP="00BC3104">
      <w:pPr>
        <w:contextualSpacing/>
      </w:pPr>
    </w:p>
    <w:p w:rsidR="00BC3104" w:rsidRPr="00BC3104" w:rsidRDefault="00BC3104" w:rsidP="00BC3104">
      <w:pPr>
        <w:contextualSpacing/>
        <w:jc w:val="center"/>
        <w:rPr>
          <w:sz w:val="20"/>
          <w:szCs w:val="20"/>
        </w:rPr>
      </w:pPr>
      <w:r>
        <w:rPr>
          <w:sz w:val="20"/>
          <w:szCs w:val="20"/>
          <w:lang w:eastAsia="en-US"/>
        </w:rPr>
        <w:t>(</w:t>
      </w:r>
      <w:r w:rsidRPr="00BC3104">
        <w:rPr>
          <w:sz w:val="20"/>
          <w:szCs w:val="20"/>
          <w:lang w:eastAsia="en-US"/>
        </w:rPr>
        <w:t>ПОСТАНОВЛЕНИЕ</w:t>
      </w:r>
      <w:r w:rsidRPr="00BC3104">
        <w:rPr>
          <w:sz w:val="20"/>
          <w:szCs w:val="20"/>
          <w:lang w:eastAsia="en-US"/>
        </w:rPr>
        <w:t xml:space="preserve"> ПРАВИТЕЛЬСТВА РФ</w:t>
      </w:r>
      <w:r w:rsidRPr="00BC3104">
        <w:rPr>
          <w:sz w:val="20"/>
          <w:szCs w:val="20"/>
          <w:lang w:eastAsia="en-US"/>
        </w:rPr>
        <w:t xml:space="preserve"> от 16 сентября 2020 г. N 1479 </w:t>
      </w:r>
      <w:r w:rsidRPr="00BC3104">
        <w:rPr>
          <w:sz w:val="20"/>
          <w:szCs w:val="20"/>
          <w:lang w:eastAsia="en-US"/>
        </w:rPr>
        <w:t>«</w:t>
      </w:r>
      <w:r w:rsidRPr="00BC3104">
        <w:rPr>
          <w:sz w:val="20"/>
          <w:szCs w:val="20"/>
          <w:lang w:eastAsia="en-US"/>
        </w:rPr>
        <w:t>ОБ УТВЕРЖДЕНИИ ПРАВИЛ ПРОТИВОПОЖАРНОГО РЕЖИМА В РОССИЙСКОЙ ФЕДЕРАЦИИ</w:t>
      </w:r>
      <w:r w:rsidRPr="00BC3104">
        <w:rPr>
          <w:sz w:val="20"/>
          <w:szCs w:val="20"/>
          <w:lang w:eastAsia="en-US"/>
        </w:rPr>
        <w:t>»</w:t>
      </w:r>
      <w:r>
        <w:rPr>
          <w:sz w:val="20"/>
          <w:szCs w:val="20"/>
          <w:lang w:eastAsia="en-US"/>
        </w:rPr>
        <w:t>)</w:t>
      </w:r>
    </w:p>
    <w:sectPr w:rsidR="00BC3104" w:rsidRPr="00BC3104" w:rsidSect="0051055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F5"/>
    <w:rsid w:val="000A2DBF"/>
    <w:rsid w:val="00212795"/>
    <w:rsid w:val="00290CF5"/>
    <w:rsid w:val="00377225"/>
    <w:rsid w:val="00BC3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25"/>
    <w:rPr>
      <w:sz w:val="24"/>
      <w:szCs w:val="24"/>
      <w:lang w:eastAsia="ru-RU"/>
    </w:rPr>
  </w:style>
  <w:style w:type="paragraph" w:styleId="1">
    <w:name w:val="heading 1"/>
    <w:basedOn w:val="a"/>
    <w:next w:val="a"/>
    <w:link w:val="10"/>
    <w:qFormat/>
    <w:rsid w:val="00377225"/>
    <w:pPr>
      <w:keepNext/>
      <w:framePr w:hSpace="180" w:wrap="notBeside" w:hAnchor="margin" w:x="-432" w:y="534"/>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25"/>
    <w:rPr>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25"/>
    <w:rPr>
      <w:sz w:val="24"/>
      <w:szCs w:val="24"/>
      <w:lang w:eastAsia="ru-RU"/>
    </w:rPr>
  </w:style>
  <w:style w:type="paragraph" w:styleId="1">
    <w:name w:val="heading 1"/>
    <w:basedOn w:val="a"/>
    <w:next w:val="a"/>
    <w:link w:val="10"/>
    <w:qFormat/>
    <w:rsid w:val="00377225"/>
    <w:pPr>
      <w:keepNext/>
      <w:framePr w:hSpace="180" w:wrap="notBeside" w:hAnchor="margin" w:x="-432" w:y="534"/>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25"/>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162&amp;dst=100113" TargetMode="External"/><Relationship Id="rId3" Type="http://schemas.openxmlformats.org/officeDocument/2006/relationships/settings" Target="settings.xml"/><Relationship Id="rId7" Type="http://schemas.openxmlformats.org/officeDocument/2006/relationships/hyperlink" Target="https://login.consultant.ru/link/?req=doc&amp;base=LAW&amp;n=430162&amp;dst=1001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30162&amp;dst=100110" TargetMode="External"/><Relationship Id="rId5" Type="http://schemas.openxmlformats.org/officeDocument/2006/relationships/hyperlink" Target="https://login.consultant.ru/link/?req=doc&amp;base=LAW&amp;n=430162&amp;dst=10010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1114</Words>
  <Characters>6350</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XXIII. Применение и реализация пиротехнических изделий</vt:lpstr>
      <vt:lpstr>    бытового назначения</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Ащеулова Т.Я.</dc:creator>
  <cp:keywords/>
  <dc:description/>
  <cp:lastModifiedBy>Ащеулова Т.Я.</cp:lastModifiedBy>
  <cp:revision>3</cp:revision>
  <dcterms:created xsi:type="dcterms:W3CDTF">2024-12-24T02:42:00Z</dcterms:created>
  <dcterms:modified xsi:type="dcterms:W3CDTF">2024-12-24T02:51:00Z</dcterms:modified>
</cp:coreProperties>
</file>