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ЗАКЛЮЧЕНИЕ</w:t>
      </w:r>
    </w:p>
    <w:p w14:paraId="05000000">
      <w:pPr>
        <w:pStyle w:val="Style_3"/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по отчету об исполнении бюджета Крапивинского муниципального округа за 1 квартал 2025года</w:t>
      </w:r>
    </w:p>
    <w:p w14:paraId="06000000">
      <w:pPr>
        <w:pStyle w:val="Style_3"/>
        <w:widowControl w:val="0"/>
        <w:ind/>
        <w:jc w:val="center"/>
        <w:rPr>
          <w:b w:val="1"/>
          <w:sz w:val="28"/>
        </w:rPr>
      </w:pPr>
    </w:p>
    <w:p w14:paraId="07000000">
      <w:pPr>
        <w:pStyle w:val="Style_3"/>
        <w:widowControl w:val="0"/>
        <w:numPr>
          <w:ilvl w:val="0"/>
          <w:numId w:val="1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Общие положения.</w:t>
      </w:r>
    </w:p>
    <w:p w14:paraId="08000000">
      <w:pPr>
        <w:pStyle w:val="Style_3"/>
        <w:widowControl w:val="0"/>
        <w:ind w:hanging="153" w:left="720"/>
        <w:rPr>
          <w:sz w:val="28"/>
        </w:rPr>
      </w:pPr>
    </w:p>
    <w:p w14:paraId="09000000">
      <w:pPr>
        <w:pStyle w:val="Style_3"/>
        <w:widowControl w:val="0"/>
        <w:ind w:firstLine="567" w:left="0"/>
        <w:jc w:val="both"/>
        <w:rPr>
          <w:color w:val="C00000"/>
          <w:sz w:val="28"/>
        </w:rPr>
      </w:pPr>
      <w:r>
        <w:rPr>
          <w:sz w:val="28"/>
        </w:rPr>
        <w:t>Анализ отчета об исполнении бюджета Крапивинского муниципального округа за 1 квартал 2025 года проведен контрольно-счетным органом Крапивинского муниципального округа в соответствии с требованиями статьи 264.2 Бюджетного кодекса Российской Федерации (далее БК РФ), Уставом Крапивинского муниципального округа</w:t>
      </w:r>
      <w:r>
        <w:rPr>
          <w:color w:val="C00000"/>
          <w:sz w:val="28"/>
        </w:rPr>
        <w:t xml:space="preserve">, </w:t>
      </w:r>
      <w:r>
        <w:rPr>
          <w:sz w:val="28"/>
        </w:rPr>
        <w:t>статьей 14 Положения о бюджетном процессе в Крапивинском муниципальном округе, утвержденного решение Совета народных депутатов Крапивинского муниципального округа от 08.11.2021 № 273, подпунктом 9, п.1 статьи 8 Положения «О контрольно-счетном органе Крапивинского муниципального округа»</w:t>
      </w:r>
      <w:r>
        <w:rPr>
          <w:b w:val="1"/>
          <w:sz w:val="28"/>
        </w:rPr>
        <w:t xml:space="preserve"> </w:t>
      </w:r>
      <w:r>
        <w:rPr>
          <w:sz w:val="28"/>
        </w:rPr>
        <w:t>от 08.11.2021 № 281, планом работы контрольно-счетного органа Крапивинского муниципального округа на 2025 год и распоряжением председателя контрольно-счетного органа № 4 от 17.04.2025г.</w:t>
      </w:r>
    </w:p>
    <w:p w14:paraId="0A000000">
      <w:pPr>
        <w:pStyle w:val="Style_3"/>
        <w:widowControl w:val="0"/>
        <w:ind w:firstLine="567" w:left="0"/>
        <w:jc w:val="both"/>
        <w:rPr>
          <w:b w:val="1"/>
          <w:sz w:val="28"/>
        </w:rPr>
      </w:pPr>
    </w:p>
    <w:p w14:paraId="0B000000">
      <w:pPr>
        <w:pStyle w:val="Style_3"/>
        <w:widowControl w:val="0"/>
        <w:numPr>
          <w:ilvl w:val="0"/>
          <w:numId w:val="1"/>
        </w:numPr>
        <w:ind w:firstLine="567" w:left="0"/>
        <w:jc w:val="center"/>
        <w:rPr>
          <w:b w:val="1"/>
          <w:sz w:val="28"/>
        </w:rPr>
      </w:pPr>
      <w:r>
        <w:rPr>
          <w:b w:val="1"/>
          <w:sz w:val="28"/>
        </w:rPr>
        <w:t>Общая характеристика бюджета.</w:t>
      </w:r>
    </w:p>
    <w:p w14:paraId="0C000000">
      <w:pPr>
        <w:pStyle w:val="Style_3"/>
        <w:widowControl w:val="0"/>
        <w:ind w:firstLine="0" w:left="720"/>
        <w:rPr>
          <w:b w:val="1"/>
          <w:sz w:val="28"/>
        </w:rPr>
      </w:pPr>
    </w:p>
    <w:p w14:paraId="0D000000">
      <w:pPr>
        <w:widowControl w:val="0"/>
        <w:ind w:firstLine="567" w:left="0"/>
        <w:rPr>
          <w:sz w:val="28"/>
        </w:rPr>
      </w:pPr>
      <w:r>
        <w:rPr>
          <w:sz w:val="28"/>
        </w:rPr>
        <w:t xml:space="preserve">Бюджет Крапивинского муниципального округа на 2025 год утвержден решением Совета народных депутатов Крапивинского муниципального округа от 27.12.2024 №23 «О бюджете Крапивинского муниципального округа на 2025 год и плановый период 2026 и 2027 годы» </w:t>
      </w:r>
    </w:p>
    <w:p w14:paraId="0E000000">
      <w:pPr>
        <w:widowControl w:val="0"/>
        <w:ind w:firstLine="567" w:left="0"/>
        <w:rPr>
          <w:sz w:val="28"/>
        </w:rPr>
      </w:pPr>
      <w:r>
        <w:rPr>
          <w:sz w:val="28"/>
        </w:rPr>
        <w:t xml:space="preserve">Основные показатели бюджета: </w:t>
      </w:r>
    </w:p>
    <w:p w14:paraId="0F000000">
      <w:pPr>
        <w:widowControl w:val="0"/>
        <w:numPr>
          <w:ilvl w:val="0"/>
          <w:numId w:val="2"/>
        </w:numPr>
        <w:ind w:firstLine="567" w:left="0"/>
        <w:rPr>
          <w:sz w:val="28"/>
        </w:rPr>
      </w:pPr>
      <w:r>
        <w:rPr>
          <w:sz w:val="28"/>
        </w:rPr>
        <w:t>доходы – 1530402,5 тыс. руб.;</w:t>
      </w:r>
    </w:p>
    <w:p w14:paraId="10000000">
      <w:pPr>
        <w:widowControl w:val="0"/>
        <w:numPr>
          <w:ilvl w:val="0"/>
          <w:numId w:val="2"/>
        </w:numPr>
        <w:ind w:firstLine="567" w:left="0"/>
        <w:rPr>
          <w:sz w:val="28"/>
        </w:rPr>
      </w:pPr>
      <w:r>
        <w:rPr>
          <w:sz w:val="28"/>
        </w:rPr>
        <w:t>расходы –1539902,5 млн. руб.;</w:t>
      </w:r>
    </w:p>
    <w:p w14:paraId="11000000">
      <w:pPr>
        <w:widowControl w:val="0"/>
        <w:numPr>
          <w:ilvl w:val="0"/>
          <w:numId w:val="2"/>
        </w:numPr>
        <w:ind w:firstLine="567" w:left="0"/>
        <w:rPr>
          <w:sz w:val="28"/>
        </w:rPr>
      </w:pPr>
      <w:r>
        <w:rPr>
          <w:sz w:val="28"/>
        </w:rPr>
        <w:t>дефицит бюджета – 9,5 млн. руб.</w:t>
      </w:r>
    </w:p>
    <w:p w14:paraId="12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Изменения в бюджет округа в отчетном периоде внесены на основании ст.92.1 п.3 Бюджетного Кодекса РФ решением </w:t>
      </w:r>
      <w:r>
        <w:rPr>
          <w:sz w:val="28"/>
        </w:rPr>
        <w:t xml:space="preserve"> Совета народных депутатов Крапивинского муниципального округа от 26.02.2025 №41</w:t>
      </w:r>
      <w:r>
        <w:rPr>
          <w:sz w:val="28"/>
        </w:rPr>
        <w:t>, в отчете об исполнении бюджета за первый квартал 2025 года утвержденные бюджетные назначения по доходам отражены в сумме 1552966,9 тыс. руб., по расходам – 1568966,9 тыс. руб., дефицит бюджета 16000 тыс. руб. Изменения утвержденных бюджетных назначений согласно уведомления №922 от 26.02.2025 года о предоставлении межбюджетного трансферта на сумму 17205,3 тыс.рублей.</w:t>
      </w:r>
    </w:p>
    <w:p w14:paraId="13000000">
      <w:pPr>
        <w:widowControl w:val="0"/>
        <w:ind w:firstLine="567" w:left="0"/>
        <w:jc w:val="both"/>
        <w:rPr>
          <w:sz w:val="28"/>
        </w:rPr>
      </w:pPr>
    </w:p>
    <w:p w14:paraId="14000000">
      <w:pPr>
        <w:widowControl w:val="0"/>
        <w:ind w:firstLine="17" w:left="720"/>
        <w:jc w:val="right"/>
        <w:rPr>
          <w:sz w:val="28"/>
        </w:rPr>
      </w:pPr>
      <w:r>
        <w:t>таблица № 1(тыс. руб.)</w:t>
      </w:r>
    </w:p>
    <w:p w14:paraId="15000000">
      <w:pPr>
        <w:widowControl w:val="0"/>
        <w:ind w:firstLine="567" w:left="0"/>
        <w:jc w:val="right"/>
        <w:rPr>
          <w:sz w:val="28"/>
        </w:rPr>
      </w:pPr>
    </w:p>
    <w:tbl>
      <w:tblPr>
        <w:tblStyle w:val="Style_4"/>
        <w:tblW w:type="auto" w:w="0"/>
        <w:tblInd w:type="dxa" w:w="64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17"/>
        <w:gridCol w:w="2217"/>
        <w:gridCol w:w="2217"/>
        <w:gridCol w:w="2217"/>
      </w:tblGrid>
      <w:tr>
        <w:trPr>
          <w:trHeight w:hRule="atLeast" w:val="721"/>
        </w:trPr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pStyle w:val="Style_3"/>
              <w:widowControl w:val="0"/>
              <w:ind w:hanging="57" w:left="57"/>
              <w:jc w:val="both"/>
              <w:rPr>
                <w:sz w:val="28"/>
              </w:rPr>
            </w:pPr>
            <w:r>
              <w:rPr>
                <w:sz w:val="28"/>
              </w:rPr>
              <w:t>Решение СНД от 27.12.2024 №23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Решение СНД от 26.02.2025 №41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по отчету об исполнении бюджета за 1 кв. 2025 года</w:t>
            </w:r>
          </w:p>
        </w:tc>
      </w:tr>
      <w:tr>
        <w:trPr>
          <w:trHeight w:hRule="atLeast" w:val="236"/>
        </w:trPr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pStyle w:val="Style_3"/>
              <w:widowControl w:val="0"/>
              <w:ind w:firstLine="113" w:left="0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pStyle w:val="Style_3"/>
              <w:widowControl w:val="0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1530402,5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widowControl w:val="0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1535761,7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pStyle w:val="Style_3"/>
              <w:widowControl w:val="0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1552966,9</w:t>
            </w:r>
          </w:p>
        </w:tc>
      </w:tr>
      <w:tr>
        <w:trPr>
          <w:trHeight w:hRule="atLeast" w:val="236"/>
        </w:trPr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pStyle w:val="Style_3"/>
              <w:widowControl w:val="0"/>
              <w:ind w:firstLine="113" w:left="0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pStyle w:val="Style_3"/>
              <w:widowControl w:val="0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1539902,5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3"/>
              <w:widowControl w:val="0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1551761,7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pStyle w:val="Style_3"/>
              <w:widowControl w:val="0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1568966,9</w:t>
            </w:r>
          </w:p>
        </w:tc>
      </w:tr>
      <w:tr>
        <w:trPr>
          <w:trHeight w:hRule="atLeast" w:val="236"/>
        </w:trPr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pStyle w:val="Style_3"/>
              <w:widowControl w:val="0"/>
              <w:ind w:firstLine="113" w:left="0"/>
              <w:jc w:val="both"/>
              <w:rPr>
                <w:sz w:val="28"/>
              </w:rPr>
            </w:pPr>
            <w:r>
              <w:rPr>
                <w:sz w:val="28"/>
              </w:rPr>
              <w:t>Дефицит (-)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pStyle w:val="Style_3"/>
              <w:widowControl w:val="0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-9500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3"/>
              <w:widowControl w:val="0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-16000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-16000</w:t>
            </w:r>
          </w:p>
        </w:tc>
      </w:tr>
    </w:tbl>
    <w:p w14:paraId="26000000">
      <w:pPr>
        <w:widowControl w:val="0"/>
        <w:ind w:firstLine="567" w:left="0"/>
        <w:jc w:val="both"/>
        <w:rPr>
          <w:sz w:val="28"/>
        </w:rPr>
      </w:pPr>
    </w:p>
    <w:p w14:paraId="27000000">
      <w:pPr>
        <w:rPr>
          <w:sz w:val="28"/>
        </w:rPr>
      </w:pPr>
    </w:p>
    <w:p w14:paraId="28000000">
      <w:pPr>
        <w:rPr>
          <w:sz w:val="28"/>
        </w:rPr>
      </w:pPr>
    </w:p>
    <w:p w14:paraId="29000000">
      <w:pPr>
        <w:widowControl w:val="0"/>
        <w:numPr>
          <w:ilvl w:val="0"/>
          <w:numId w:val="1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Анализ исполнения доходов бюджета Крапивинского муниципального округа.</w:t>
      </w:r>
    </w:p>
    <w:p w14:paraId="2A000000">
      <w:pPr>
        <w:pStyle w:val="Style_3"/>
        <w:rPr>
          <w:sz w:val="28"/>
        </w:rPr>
      </w:pPr>
    </w:p>
    <w:p w14:paraId="2B000000">
      <w:pPr>
        <w:pStyle w:val="Style_3"/>
        <w:widowControl w:val="0"/>
        <w:ind w:firstLine="567" w:left="0"/>
        <w:rPr>
          <w:sz w:val="28"/>
        </w:rPr>
      </w:pPr>
      <w:r>
        <w:rPr>
          <w:sz w:val="28"/>
        </w:rPr>
        <w:t>Характеристика основных показателей исполнения бюджета за 1 квартал 2025 года представлена в таблице №2.</w:t>
      </w:r>
    </w:p>
    <w:p w14:paraId="2C000000">
      <w:pPr>
        <w:widowControl w:val="0"/>
        <w:ind w:hanging="153" w:left="720"/>
        <w:jc w:val="center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                                                                           т</w:t>
      </w:r>
      <w:r>
        <w:t>аблица № 2(тыс. руб.)</w:t>
      </w:r>
    </w:p>
    <w:p w14:paraId="2D000000">
      <w:pPr>
        <w:widowControl w:val="0"/>
        <w:ind w:hanging="153" w:left="720"/>
        <w:jc w:val="center"/>
        <w:rPr>
          <w:sz w:val="28"/>
        </w:rPr>
      </w:pPr>
    </w:p>
    <w:tbl>
      <w:tblPr>
        <w:tblStyle w:val="Style_4"/>
        <w:tblW w:type="auto" w:w="0"/>
        <w:tblInd w:type="dxa" w:w="64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17"/>
        <w:gridCol w:w="2217"/>
        <w:gridCol w:w="2217"/>
        <w:gridCol w:w="2217"/>
      </w:tblGrid>
      <w:tr>
        <w:trPr>
          <w:trHeight w:hRule="atLeast" w:val="721"/>
        </w:trPr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pStyle w:val="Style_3"/>
              <w:widowControl w:val="0"/>
              <w:ind w:hanging="57" w:left="57"/>
              <w:jc w:val="both"/>
              <w:rPr>
                <w:sz w:val="28"/>
              </w:rPr>
            </w:pPr>
            <w:r>
              <w:rPr>
                <w:sz w:val="28"/>
              </w:rPr>
              <w:t>Утверждено по бюджету на 2025год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Исполнение за 1 квартал 2025 года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pStyle w:val="Style_3"/>
              <w:rPr>
                <w:sz w:val="28"/>
              </w:rPr>
            </w:pPr>
            <w:r>
              <w:rPr>
                <w:sz w:val="28"/>
              </w:rPr>
              <w:t>Исполнение к годовым бюджетным назначениям (%)</w:t>
            </w:r>
          </w:p>
        </w:tc>
      </w:tr>
      <w:tr>
        <w:trPr>
          <w:trHeight w:hRule="atLeast" w:val="236"/>
        </w:trPr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pStyle w:val="Style_3"/>
              <w:widowControl w:val="0"/>
              <w:ind w:firstLine="113" w:left="0"/>
              <w:jc w:val="both"/>
              <w:rPr>
                <w:sz w:val="28"/>
              </w:rPr>
            </w:pPr>
            <w:r>
              <w:rPr>
                <w:sz w:val="28"/>
              </w:rPr>
              <w:t>Доходы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3"/>
              <w:widowControl w:val="0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1552966,9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3"/>
              <w:widowControl w:val="0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403131,0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pStyle w:val="Style_3"/>
              <w:widowControl w:val="0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25,96</w:t>
            </w:r>
          </w:p>
        </w:tc>
      </w:tr>
      <w:tr>
        <w:trPr>
          <w:trHeight w:hRule="atLeast" w:val="236"/>
        </w:trPr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pStyle w:val="Style_3"/>
              <w:widowControl w:val="0"/>
              <w:ind w:firstLine="113" w:left="0"/>
              <w:jc w:val="both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3"/>
              <w:widowControl w:val="0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1568966,9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3"/>
              <w:widowControl w:val="0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402456,1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pStyle w:val="Style_3"/>
              <w:widowControl w:val="0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25,65</w:t>
            </w:r>
          </w:p>
        </w:tc>
      </w:tr>
      <w:tr>
        <w:trPr>
          <w:trHeight w:hRule="atLeast" w:val="236"/>
        </w:trPr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pStyle w:val="Style_3"/>
              <w:widowControl w:val="0"/>
              <w:ind w:firstLine="113" w:left="0"/>
              <w:jc w:val="both"/>
              <w:rPr>
                <w:sz w:val="28"/>
              </w:rPr>
            </w:pPr>
            <w:r>
              <w:rPr>
                <w:sz w:val="28"/>
              </w:rPr>
              <w:t>Дефицит (-)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pStyle w:val="Style_3"/>
              <w:widowControl w:val="0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-16000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3"/>
              <w:widowControl w:val="0"/>
              <w:ind w:firstLine="567" w:left="0"/>
              <w:jc w:val="both"/>
              <w:rPr>
                <w:sz w:val="28"/>
              </w:rPr>
            </w:pPr>
            <w:r>
              <w:rPr>
                <w:sz w:val="28"/>
              </w:rPr>
              <w:t>-17325,0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rPr>
                <w:sz w:val="28"/>
              </w:rPr>
            </w:pPr>
          </w:p>
        </w:tc>
      </w:tr>
    </w:tbl>
    <w:p w14:paraId="3E000000">
      <w:pPr>
        <w:pStyle w:val="Style_3"/>
        <w:widowControl w:val="0"/>
        <w:ind w:firstLine="567" w:left="0"/>
        <w:jc w:val="both"/>
        <w:rPr>
          <w:sz w:val="28"/>
        </w:rPr>
      </w:pPr>
    </w:p>
    <w:p w14:paraId="3F000000">
      <w:pPr>
        <w:pStyle w:val="Style_3"/>
        <w:widowControl w:val="0"/>
        <w:ind w:firstLine="567" w:left="0"/>
        <w:jc w:val="both"/>
        <w:rPr>
          <w:sz w:val="28"/>
        </w:rPr>
      </w:pPr>
      <w:r>
        <w:rPr>
          <w:sz w:val="28"/>
        </w:rPr>
        <w:t>В соответствии с представленным отчетом исполненные доходы бюджета за 1 квартал 2025 года составили 403131,0 тыс. рублей или 25,96% от годового объема утвержденных доходов.</w:t>
      </w:r>
    </w:p>
    <w:p w14:paraId="40000000">
      <w:pPr>
        <w:pStyle w:val="Style_3"/>
        <w:widowControl w:val="0"/>
        <w:ind w:firstLine="567" w:left="0"/>
        <w:jc w:val="both"/>
        <w:rPr>
          <w:sz w:val="28"/>
        </w:rPr>
      </w:pPr>
    </w:p>
    <w:p w14:paraId="41000000">
      <w:pPr>
        <w:pStyle w:val="Style_3"/>
        <w:widowControl w:val="0"/>
        <w:ind w:firstLine="624" w:left="0"/>
        <w:jc w:val="both"/>
        <w:rPr>
          <w:sz w:val="28"/>
        </w:rPr>
      </w:pPr>
      <w:r>
        <w:rPr>
          <w:sz w:val="28"/>
        </w:rPr>
        <w:t>Структура исполненных доходов бюджета за 1 квартал 2025 года:</w:t>
      </w:r>
    </w:p>
    <w:p w14:paraId="42000000">
      <w:pPr>
        <w:pStyle w:val="Style_3"/>
        <w:widowControl w:val="0"/>
        <w:numPr>
          <w:ilvl w:val="0"/>
          <w:numId w:val="3"/>
        </w:numPr>
        <w:ind w:firstLine="567" w:left="0"/>
        <w:jc w:val="both"/>
        <w:rPr>
          <w:sz w:val="28"/>
        </w:rPr>
      </w:pPr>
      <w:r>
        <w:rPr>
          <w:sz w:val="28"/>
        </w:rPr>
        <w:t>налоговые доходы</w:t>
      </w:r>
      <w:r>
        <w:rPr>
          <w:sz w:val="28"/>
        </w:rPr>
        <w:t xml:space="preserve"> </w:t>
      </w:r>
      <w:r>
        <w:rPr>
          <w:sz w:val="28"/>
        </w:rPr>
        <w:t>– 13,6 %;</w:t>
      </w:r>
    </w:p>
    <w:p w14:paraId="43000000">
      <w:pPr>
        <w:pStyle w:val="Style_3"/>
        <w:widowControl w:val="0"/>
        <w:numPr>
          <w:ilvl w:val="0"/>
          <w:numId w:val="3"/>
        </w:numPr>
        <w:ind w:firstLine="567" w:left="0"/>
        <w:jc w:val="both"/>
        <w:rPr>
          <w:sz w:val="28"/>
        </w:rPr>
      </w:pPr>
      <w:r>
        <w:rPr>
          <w:sz w:val="28"/>
        </w:rPr>
        <w:t>неналоговые доходы – 2,6 %;</w:t>
      </w:r>
    </w:p>
    <w:p w14:paraId="44000000">
      <w:pPr>
        <w:pStyle w:val="Style_3"/>
        <w:widowControl w:val="0"/>
        <w:numPr>
          <w:ilvl w:val="0"/>
          <w:numId w:val="3"/>
        </w:numPr>
        <w:ind w:firstLine="567" w:left="0"/>
        <w:jc w:val="both"/>
        <w:rPr>
          <w:sz w:val="28"/>
        </w:rPr>
      </w:pPr>
      <w:r>
        <w:rPr>
          <w:sz w:val="28"/>
        </w:rPr>
        <w:t>безвозмездные поступления – 83,9%.</w:t>
      </w:r>
    </w:p>
    <w:p w14:paraId="45000000">
      <w:pPr>
        <w:pStyle w:val="Style_3"/>
        <w:widowControl w:val="0"/>
        <w:ind w:hanging="213" w:left="780"/>
        <w:jc w:val="right"/>
      </w:pPr>
      <w:r>
        <w:t>таблица №3 (тыс. руб.)</w:t>
      </w:r>
    </w:p>
    <w:tbl>
      <w:tblPr>
        <w:tblStyle w:val="Style_4"/>
        <w:tblW w:type="auto" w:w="0"/>
        <w:tblLayout w:type="fixed"/>
      </w:tblPr>
      <w:tblGrid>
        <w:gridCol w:w="2764"/>
        <w:gridCol w:w="1766"/>
        <w:gridCol w:w="1905"/>
        <w:gridCol w:w="2921"/>
      </w:tblGrid>
      <w:tr>
        <w:trPr>
          <w:trHeight w:hRule="atLeast" w:val="550"/>
        </w:trPr>
        <w:tc>
          <w:tcPr>
            <w:tcW w:type="dxa" w:w="27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доходов</w:t>
            </w:r>
          </w:p>
        </w:tc>
        <w:tc>
          <w:tcPr>
            <w:tcW w:type="dxa" w:w="176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Утвержденные назначения</w:t>
            </w:r>
          </w:p>
        </w:tc>
        <w:tc>
          <w:tcPr>
            <w:tcW w:type="dxa" w:w="4826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Исполнено</w:t>
            </w:r>
          </w:p>
        </w:tc>
      </w:tr>
      <w:tr>
        <w:trPr>
          <w:trHeight w:hRule="atLeast" w:val="826"/>
        </w:trPr>
        <w:tc>
          <w:tcPr>
            <w:tcW w:type="dxa" w:w="27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 2024 год</w:t>
            </w:r>
          </w:p>
        </w:tc>
        <w:tc>
          <w:tcPr>
            <w:tcW w:type="dxa" w:w="19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 1 кв. 2025 года</w:t>
            </w:r>
          </w:p>
        </w:tc>
        <w:tc>
          <w:tcPr>
            <w:tcW w:type="dxa" w:w="29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Исполнение к годовым бюджетным назначениям ( % )</w:t>
            </w:r>
          </w:p>
        </w:tc>
      </w:tr>
      <w:tr>
        <w:trPr>
          <w:trHeight w:hRule="atLeast" w:val="70"/>
        </w:trPr>
        <w:tc>
          <w:tcPr>
            <w:tcW w:type="dxa" w:w="27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rPr>
                <w:sz w:val="28"/>
              </w:rPr>
            </w:pPr>
            <w:r>
              <w:rPr>
                <w:sz w:val="28"/>
              </w:rPr>
              <w:t>ВСЕГО ДОХОДОВ</w:t>
            </w:r>
          </w:p>
        </w:tc>
        <w:tc>
          <w:tcPr>
            <w:tcW w:type="dxa" w:w="1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1552966,9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403131,0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25,96</w:t>
            </w:r>
          </w:p>
        </w:tc>
      </w:tr>
      <w:tr>
        <w:trPr>
          <w:trHeight w:hRule="atLeast" w:val="119"/>
        </w:trPr>
        <w:tc>
          <w:tcPr>
            <w:tcW w:type="dxa" w:w="27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rPr>
                <w:sz w:val="28"/>
              </w:rPr>
            </w:pPr>
            <w:r>
              <w:rPr>
                <w:sz w:val="28"/>
              </w:rPr>
              <w:t>Налоговые и неналоговые доходы</w:t>
            </w:r>
          </w:p>
        </w:tc>
        <w:tc>
          <w:tcPr>
            <w:tcW w:type="dxa" w:w="1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360517,0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65079,0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18,1</w:t>
            </w:r>
          </w:p>
        </w:tc>
      </w:tr>
      <w:tr>
        <w:trPr>
          <w:trHeight w:hRule="atLeast" w:val="290"/>
        </w:trPr>
        <w:tc>
          <w:tcPr>
            <w:tcW w:type="dxa" w:w="27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rPr>
                <w:sz w:val="28"/>
              </w:rPr>
            </w:pPr>
            <w:r>
              <w:rPr>
                <w:sz w:val="28"/>
              </w:rPr>
              <w:t>Налоговые доходы</w:t>
            </w:r>
          </w:p>
        </w:tc>
        <w:tc>
          <w:tcPr>
            <w:tcW w:type="dxa" w:w="1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314437,0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54624,4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17,4</w:t>
            </w:r>
          </w:p>
        </w:tc>
      </w:tr>
      <w:tr>
        <w:trPr>
          <w:trHeight w:hRule="atLeast" w:val="119"/>
        </w:trPr>
        <w:tc>
          <w:tcPr>
            <w:tcW w:type="dxa" w:w="27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rPr>
                <w:sz w:val="28"/>
              </w:rPr>
            </w:pPr>
            <w:r>
              <w:rPr>
                <w:sz w:val="28"/>
              </w:rPr>
              <w:t>Неналоговые доходы</w:t>
            </w:r>
          </w:p>
        </w:tc>
        <w:tc>
          <w:tcPr>
            <w:tcW w:type="dxa" w:w="1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46080,0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10454,6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22,7</w:t>
            </w:r>
          </w:p>
        </w:tc>
      </w:tr>
      <w:tr>
        <w:trPr>
          <w:trHeight w:hRule="atLeast" w:val="119"/>
        </w:trPr>
        <w:tc>
          <w:tcPr>
            <w:tcW w:type="dxa" w:w="27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rPr>
                <w:sz w:val="28"/>
              </w:rPr>
            </w:pPr>
            <w:r>
              <w:rPr>
                <w:sz w:val="28"/>
              </w:rPr>
              <w:t xml:space="preserve">Безвозмездные поступления </w:t>
            </w:r>
          </w:p>
        </w:tc>
        <w:tc>
          <w:tcPr>
            <w:tcW w:type="dxa" w:w="1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1192450,0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338052,0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28,3</w:t>
            </w:r>
          </w:p>
        </w:tc>
      </w:tr>
    </w:tbl>
    <w:p w14:paraId="60000000">
      <w:pPr>
        <w:pStyle w:val="Style_3"/>
        <w:widowControl w:val="0"/>
        <w:ind/>
        <w:jc w:val="right"/>
        <w:rPr>
          <w:sz w:val="28"/>
        </w:rPr>
      </w:pPr>
    </w:p>
    <w:p w14:paraId="61000000">
      <w:pPr>
        <w:pStyle w:val="Style_3"/>
        <w:widowControl w:val="0"/>
        <w:ind w:hanging="567" w:left="567"/>
        <w:jc w:val="both"/>
        <w:rPr>
          <w:b w:val="1"/>
          <w:sz w:val="28"/>
        </w:rPr>
      </w:pPr>
    </w:p>
    <w:p w14:paraId="62000000">
      <w:pPr>
        <w:pStyle w:val="Style_3"/>
        <w:widowControl w:val="0"/>
        <w:ind w:firstLine="567" w:left="0"/>
        <w:jc w:val="both"/>
        <w:rPr>
          <w:sz w:val="28"/>
        </w:rPr>
      </w:pPr>
      <w:r>
        <w:rPr>
          <w:b w:val="1"/>
          <w:sz w:val="28"/>
        </w:rPr>
        <w:t xml:space="preserve">3.1 Налоговые доходы </w:t>
      </w:r>
      <w:r>
        <w:rPr>
          <w:sz w:val="28"/>
        </w:rPr>
        <w:t>бюджета Крапивинского муниципального округа за 1 квартал 2025 года составили 54624,4 тыс. рублей или 17,4 % от годового объема утвержденных налоговых поступлений:</w:t>
      </w:r>
    </w:p>
    <w:p w14:paraId="63000000">
      <w:pPr>
        <w:pStyle w:val="Style_3"/>
        <w:widowControl w:val="0"/>
        <w:numPr>
          <w:ilvl w:val="0"/>
          <w:numId w:val="4"/>
        </w:numPr>
        <w:ind/>
        <w:jc w:val="both"/>
        <w:rPr>
          <w:color w:val="FF0000"/>
          <w:sz w:val="28"/>
        </w:rPr>
      </w:pPr>
      <w:r>
        <w:rPr>
          <w:sz w:val="28"/>
        </w:rPr>
        <w:t>налог на доходы физических лиц за 1 квартал 2025 год –30370,7 тыс. руб. или 46,67% налоговых и неналоговых доходов округа и 7,53% от суммы всех доходов;</w:t>
      </w:r>
    </w:p>
    <w:p w14:paraId="64000000">
      <w:pPr>
        <w:pStyle w:val="Style_3"/>
        <w:widowControl w:val="0"/>
        <w:numPr>
          <w:ilvl w:val="0"/>
          <w:numId w:val="4"/>
        </w:numPr>
        <w:ind/>
        <w:jc w:val="both"/>
        <w:rPr>
          <w:color w:val="FF0000"/>
          <w:sz w:val="28"/>
        </w:rPr>
      </w:pPr>
      <w:r>
        <w:rPr>
          <w:sz w:val="28"/>
        </w:rPr>
        <w:t>налог на товары, реализуемые на территории (акцизы) – 5120,4 тыс.руб. или 7,87% налоговых и неналоговых доходов и 1,27% в общем объеме доходов;</w:t>
      </w:r>
    </w:p>
    <w:p w14:paraId="65000000">
      <w:pPr>
        <w:pStyle w:val="Style_3"/>
        <w:widowControl w:val="0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налоги на совокупный</w:t>
      </w:r>
      <w:r>
        <w:rPr>
          <w:sz w:val="28"/>
        </w:rPr>
        <w:t xml:space="preserve"> дох</w:t>
      </w:r>
      <w:r>
        <w:rPr>
          <w:sz w:val="28"/>
        </w:rPr>
        <w:t>од за 1 квартал 2025 года – 11808,8 тыс. руб. или 18,14 %  налоговых и неналоговых доходов и 2,93% в общем объеме доходов;</w:t>
      </w:r>
    </w:p>
    <w:p w14:paraId="66000000">
      <w:pPr>
        <w:pStyle w:val="Style_3"/>
        <w:widowControl w:val="0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 xml:space="preserve"> налог на имущество за 1 квартал 2025 года – 304,8 тыс. руб. или 0,5% налоговых и неналоговых доходов и 1,23% в общем объеме доходов;</w:t>
      </w:r>
    </w:p>
    <w:p w14:paraId="67000000">
      <w:pPr>
        <w:pStyle w:val="Style_3"/>
        <w:widowControl w:val="0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 xml:space="preserve"> транспортный налог за 1 квартал 2025 года – 59,4 тыс.руб. или 0,1% налоговых и неналоговых доходов и 0,01% в общем объеме доходов;</w:t>
      </w:r>
    </w:p>
    <w:p w14:paraId="68000000">
      <w:pPr>
        <w:pStyle w:val="Style_3"/>
        <w:widowControl w:val="0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земельный налог з</w:t>
      </w:r>
      <w:r>
        <w:rPr>
          <w:sz w:val="28"/>
        </w:rPr>
        <w:t>а 1 квартал 2025 года – 4617,5 тыс.руб. или 7,1% налоговых и неналоговых доходов и 1,15% в общем объеме доходов;</w:t>
      </w:r>
    </w:p>
    <w:p w14:paraId="69000000">
      <w:pPr>
        <w:pStyle w:val="Style_3"/>
        <w:widowControl w:val="0"/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государственная пошлина за 1 квартал 2025 года – 2442,9 тыс.руб., или 3,75% налоговых и неналоговых доходов и 0,61% в общем объеме доходов.</w:t>
      </w:r>
    </w:p>
    <w:p w14:paraId="6A000000">
      <w:pPr>
        <w:pStyle w:val="Style_3"/>
        <w:widowControl w:val="0"/>
        <w:ind w:firstLine="0" w:left="540"/>
        <w:jc w:val="both"/>
        <w:rPr>
          <w:sz w:val="28"/>
        </w:rPr>
      </w:pPr>
    </w:p>
    <w:p w14:paraId="6B000000">
      <w:pPr>
        <w:pStyle w:val="Style_3"/>
        <w:widowControl w:val="0"/>
        <w:tabs>
          <w:tab w:leader="none" w:pos="142" w:val="left"/>
        </w:tabs>
        <w:ind w:firstLine="567" w:left="0"/>
        <w:jc w:val="both"/>
        <w:rPr>
          <w:sz w:val="28"/>
        </w:rPr>
      </w:pPr>
      <w:r>
        <w:rPr>
          <w:b w:val="1"/>
          <w:sz w:val="28"/>
        </w:rPr>
        <w:t>3.2 Неналоговые доходы</w:t>
      </w:r>
      <w:r>
        <w:rPr>
          <w:sz w:val="28"/>
        </w:rPr>
        <w:t xml:space="preserve"> бюджета Крапивинского муниципального округа за 1 квартал 2025 года составили 10454,6 тыс. рублей или 22,7% от годового объема утвержденных  поступлений, в том числе:</w:t>
      </w:r>
    </w:p>
    <w:p w14:paraId="6C000000">
      <w:pPr>
        <w:pStyle w:val="Style_3"/>
        <w:widowControl w:val="0"/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>доходы от использования имущества, находящегося в муниципальной собственности в 1 квартале 2025 года - 8228,8 тыс. руб., в общем объеме доходов бюджета – 2,04</w:t>
      </w:r>
      <w:r>
        <w:rPr>
          <w:sz w:val="28"/>
        </w:rPr>
        <w:t xml:space="preserve"> %</w:t>
      </w:r>
      <w:r>
        <w:rPr>
          <w:sz w:val="28"/>
        </w:rPr>
        <w:t>;</w:t>
      </w:r>
    </w:p>
    <w:p w14:paraId="6D000000">
      <w:pPr>
        <w:pStyle w:val="Style_3"/>
        <w:widowControl w:val="0"/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 xml:space="preserve">платежи при пользовании природными ресурсами составили в 1 квартале 2025 года 331,1 тыс.руб. или 0,08%  в общем объеме доходов бюджета; </w:t>
      </w:r>
    </w:p>
    <w:p w14:paraId="6E000000">
      <w:pPr>
        <w:pStyle w:val="Style_3"/>
        <w:widowControl w:val="0"/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>доходы от оказания платных услуг и компенсации затрат государства за 1 квартал 2025 года получены в сумме 1124,2 тыс.руб., что в общем объеме доходов бюджета составляет 0,28%;</w:t>
      </w:r>
    </w:p>
    <w:p w14:paraId="6F000000">
      <w:pPr>
        <w:pStyle w:val="Style_3"/>
        <w:widowControl w:val="0"/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>доходы от продажи  материальных и нематериальных активов в 1 квартале 2025 года – 417,8 тыс. руб., в общем объеме доходов бюджета Крапивинского муниципального округа  составили 0,1%;</w:t>
      </w:r>
    </w:p>
    <w:p w14:paraId="70000000">
      <w:pPr>
        <w:pStyle w:val="Style_3"/>
        <w:widowControl w:val="0"/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>прочие неналоговые доходы (штрафы, санкции, возмещение ущерба) в 1 квартале 2025 года составили 49,1 тыс. руб., или 0,01% в общем объеме доходов;</w:t>
      </w:r>
    </w:p>
    <w:p w14:paraId="71000000">
      <w:pPr>
        <w:pStyle w:val="Style_3"/>
        <w:widowControl w:val="0"/>
        <w:numPr>
          <w:ilvl w:val="0"/>
          <w:numId w:val="5"/>
        </w:numPr>
        <w:ind/>
        <w:jc w:val="both"/>
        <w:rPr>
          <w:sz w:val="28"/>
        </w:rPr>
      </w:pPr>
      <w:r>
        <w:rPr>
          <w:sz w:val="28"/>
        </w:rPr>
        <w:t xml:space="preserve">инициативные платежи получены 57,3 тыс.руб., в общем объеме доходов бюджета составляет 0,01%. </w:t>
      </w:r>
    </w:p>
    <w:p w14:paraId="72000000">
      <w:pPr>
        <w:pStyle w:val="Style_3"/>
        <w:widowControl w:val="0"/>
        <w:ind/>
        <w:jc w:val="both"/>
        <w:rPr>
          <w:sz w:val="28"/>
        </w:rPr>
      </w:pPr>
    </w:p>
    <w:p w14:paraId="73000000">
      <w:pPr>
        <w:widowControl w:val="0"/>
        <w:ind w:firstLine="567" w:left="0"/>
        <w:jc w:val="both"/>
        <w:rPr>
          <w:sz w:val="28"/>
        </w:rPr>
      </w:pPr>
      <w:r>
        <w:rPr>
          <w:b w:val="1"/>
          <w:sz w:val="28"/>
        </w:rPr>
        <w:t xml:space="preserve">3.3 Безвозмездные поступления </w:t>
      </w:r>
      <w:r>
        <w:rPr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sz w:val="28"/>
        </w:rPr>
        <w:t>бюджете Крапивинского муниципального округа за 1 квартал 2025 года составили 338052,0 тыс. руб. или 28,3 % от годового объема утвержденных поступлений в том числе:</w:t>
      </w:r>
    </w:p>
    <w:p w14:paraId="74000000">
      <w:pPr>
        <w:widowControl w:val="0"/>
        <w:ind/>
        <w:jc w:val="both"/>
        <w:rPr>
          <w:sz w:val="28"/>
        </w:rPr>
      </w:pPr>
    </w:p>
    <w:p w14:paraId="75000000">
      <w:pPr>
        <w:widowControl w:val="0"/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дотации на выравнивание бюджетной обеспеченности - 96162,0 тыс. руб.;</w:t>
      </w:r>
    </w:p>
    <w:p w14:paraId="76000000">
      <w:pPr>
        <w:widowControl w:val="0"/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межбюджетные субсидии – 46082,6 тыс. руб.;</w:t>
      </w:r>
    </w:p>
    <w:p w14:paraId="77000000">
      <w:pPr>
        <w:widowControl w:val="0"/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субвенции бюджетам бюджетной системы - 187113,4 тыс.руб.</w:t>
      </w:r>
    </w:p>
    <w:p w14:paraId="78000000">
      <w:pPr>
        <w:widowControl w:val="0"/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иные межбюджетные трансферты – 8441,5 тыс. руб.</w:t>
      </w:r>
    </w:p>
    <w:p w14:paraId="79000000">
      <w:pPr>
        <w:widowControl w:val="0"/>
        <w:numPr>
          <w:ilvl w:val="0"/>
          <w:numId w:val="6"/>
        </w:numPr>
        <w:ind/>
        <w:jc w:val="both"/>
        <w:rPr>
          <w:sz w:val="28"/>
        </w:rPr>
      </w:pPr>
      <w:r>
        <w:rPr>
          <w:sz w:val="28"/>
        </w:rPr>
        <w:t>прочие безвозмездные поступления –639,3 тыс. руб.</w:t>
      </w:r>
    </w:p>
    <w:p w14:paraId="7A000000">
      <w:pPr>
        <w:widowControl w:val="0"/>
        <w:ind w:firstLine="426" w:left="0"/>
        <w:jc w:val="both"/>
        <w:rPr>
          <w:sz w:val="28"/>
        </w:rPr>
      </w:pPr>
      <w:r>
        <w:rPr>
          <w:sz w:val="28"/>
        </w:rPr>
        <w:t>Возврат прочих остатков субсидий, субвенций и иных межбюджетных трансфертов прошл</w:t>
      </w:r>
      <w:r>
        <w:rPr>
          <w:sz w:val="28"/>
        </w:rPr>
        <w:t>ых лет, имеющих целевое назначение – 386,8 тыс. руб..</w:t>
      </w:r>
    </w:p>
    <w:p w14:paraId="7B000000">
      <w:pPr>
        <w:widowControl w:val="0"/>
        <w:ind w:firstLine="426" w:left="0"/>
        <w:jc w:val="both"/>
        <w:rPr>
          <w:sz w:val="28"/>
        </w:rPr>
      </w:pPr>
    </w:p>
    <w:p w14:paraId="7C000000">
      <w:pPr>
        <w:widowControl w:val="0"/>
        <w:ind w:firstLine="0" w:left="430"/>
        <w:jc w:val="center"/>
        <w:rPr>
          <w:b w:val="1"/>
          <w:sz w:val="28"/>
        </w:rPr>
      </w:pPr>
    </w:p>
    <w:p w14:paraId="7D000000">
      <w:pPr>
        <w:widowControl w:val="0"/>
        <w:ind w:firstLine="0" w:left="430"/>
        <w:jc w:val="center"/>
        <w:rPr>
          <w:b w:val="1"/>
          <w:sz w:val="28"/>
        </w:rPr>
      </w:pPr>
      <w:r>
        <w:rPr>
          <w:b w:val="1"/>
          <w:sz w:val="28"/>
        </w:rPr>
        <w:t>4. Анализ и</w:t>
      </w:r>
      <w:r>
        <w:rPr>
          <w:b w:val="1"/>
          <w:sz w:val="28"/>
        </w:rPr>
        <w:t>с</w:t>
      </w:r>
      <w:r>
        <w:rPr>
          <w:b w:val="1"/>
          <w:sz w:val="28"/>
        </w:rPr>
        <w:t>полнения расходов бюджета Крапивинского муниципального округа.</w:t>
      </w:r>
    </w:p>
    <w:p w14:paraId="7E000000">
      <w:pPr>
        <w:pStyle w:val="Style_3"/>
        <w:widowControl w:val="0"/>
        <w:ind w:firstLine="709" w:left="0"/>
        <w:rPr>
          <w:b w:val="1"/>
          <w:sz w:val="28"/>
        </w:rPr>
      </w:pPr>
    </w:p>
    <w:p w14:paraId="7F000000">
      <w:pPr>
        <w:pStyle w:val="Style_3"/>
        <w:widowControl w:val="0"/>
        <w:ind w:firstLine="567" w:left="0"/>
        <w:jc w:val="both"/>
        <w:rPr>
          <w:sz w:val="28"/>
        </w:rPr>
      </w:pPr>
      <w:r>
        <w:rPr>
          <w:sz w:val="28"/>
        </w:rPr>
        <w:t>В соответствии с представленным отчетом расходы бюджета за 1 квартал 2025 года составили 420456,1 тыс. рублей, или 26,8 % от утвержденного годового объема бюджетных назначений. Исполнение расходной части бюджета Крапивинского муниципального округа представлено в таблице №4.</w:t>
      </w:r>
    </w:p>
    <w:p w14:paraId="80000000">
      <w:pPr>
        <w:pStyle w:val="Style_3"/>
        <w:widowControl w:val="0"/>
        <w:ind w:firstLine="567" w:left="0"/>
        <w:jc w:val="both"/>
        <w:rPr>
          <w:sz w:val="28"/>
        </w:rPr>
      </w:pPr>
    </w:p>
    <w:p w14:paraId="81000000">
      <w:pPr>
        <w:pStyle w:val="Style_3"/>
        <w:widowControl w:val="0"/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  <w:r>
        <w:t xml:space="preserve"> таблица №4 (тыс. руб.)</w:t>
      </w:r>
    </w:p>
    <w:tbl>
      <w:tblPr>
        <w:tblStyle w:val="Style_4"/>
        <w:tblW w:type="auto" w:w="0"/>
        <w:tblLayout w:type="fixed"/>
      </w:tblPr>
      <w:tblGrid>
        <w:gridCol w:w="3435"/>
        <w:gridCol w:w="1881"/>
        <w:gridCol w:w="200"/>
        <w:gridCol w:w="2145"/>
        <w:gridCol w:w="1694"/>
      </w:tblGrid>
      <w:tr>
        <w:trPr>
          <w:trHeight w:hRule="atLeast" w:val="708"/>
        </w:trPr>
        <w:tc>
          <w:tcPr>
            <w:tcW w:type="dxa" w:w="3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раздела  расходов</w:t>
            </w:r>
          </w:p>
        </w:tc>
        <w:tc>
          <w:tcPr>
            <w:tcW w:type="dxa" w:w="2081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Утвержденные назначения</w:t>
            </w:r>
          </w:p>
        </w:tc>
        <w:tc>
          <w:tcPr>
            <w:tcW w:type="dxa" w:w="3839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Исполнено</w:t>
            </w:r>
          </w:p>
        </w:tc>
      </w:tr>
      <w:tr>
        <w:trPr>
          <w:trHeight w:hRule="atLeast" w:val="826"/>
        </w:trPr>
        <w:tc>
          <w:tcPr>
            <w:tcW w:type="dxa" w:w="3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 2025 год</w:t>
            </w:r>
          </w:p>
        </w:tc>
        <w:tc>
          <w:tcPr>
            <w:tcW w:type="dxa" w:w="2345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 1 кв. 2025 года</w:t>
            </w:r>
          </w:p>
        </w:tc>
        <w:tc>
          <w:tcPr>
            <w:tcW w:type="dxa" w:w="169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 годовым назначениям</w:t>
            </w:r>
          </w:p>
          <w:p w14:paraId="8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%</w:t>
            </w:r>
          </w:p>
        </w:tc>
      </w:tr>
      <w:tr>
        <w:trPr>
          <w:trHeight w:hRule="atLeast" w:val="177"/>
        </w:trPr>
        <w:tc>
          <w:tcPr>
            <w:tcW w:type="dxa" w:w="3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rPr>
                <w:sz w:val="28"/>
              </w:rPr>
            </w:pPr>
            <w:r>
              <w:rPr>
                <w:sz w:val="28"/>
              </w:rPr>
              <w:t>01 «Общегосударственные расходы»</w:t>
            </w:r>
          </w:p>
        </w:tc>
        <w:tc>
          <w:tcPr>
            <w:tcW w:type="dxa" w:w="18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109338,5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29238,7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26,7</w:t>
            </w:r>
          </w:p>
        </w:tc>
      </w:tr>
      <w:tr>
        <w:trPr>
          <w:trHeight w:hRule="atLeast" w:val="119"/>
        </w:trPr>
        <w:tc>
          <w:tcPr>
            <w:tcW w:type="dxa" w:w="3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rPr>
                <w:sz w:val="28"/>
              </w:rPr>
            </w:pPr>
            <w:r>
              <w:rPr>
                <w:sz w:val="28"/>
              </w:rPr>
              <w:t>02 «Национальная оборона»</w:t>
            </w:r>
          </w:p>
        </w:tc>
        <w:tc>
          <w:tcPr>
            <w:tcW w:type="dxa" w:w="18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2032,3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408,1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20,1</w:t>
            </w:r>
          </w:p>
        </w:tc>
      </w:tr>
      <w:tr>
        <w:trPr>
          <w:trHeight w:hRule="atLeast" w:val="119"/>
        </w:trPr>
        <w:tc>
          <w:tcPr>
            <w:tcW w:type="dxa" w:w="3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rPr>
                <w:sz w:val="28"/>
              </w:rPr>
            </w:pPr>
            <w:r>
              <w:rPr>
                <w:sz w:val="28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type="dxa" w:w="18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18400,5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1250,3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</w:tr>
      <w:tr>
        <w:trPr>
          <w:trHeight w:hRule="atLeast" w:val="707"/>
        </w:trPr>
        <w:tc>
          <w:tcPr>
            <w:tcW w:type="dxa" w:w="3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rPr>
                <w:sz w:val="28"/>
              </w:rPr>
            </w:pPr>
            <w:r>
              <w:rPr>
                <w:sz w:val="28"/>
              </w:rPr>
              <w:t>04 «Национальная экономика»</w:t>
            </w:r>
          </w:p>
        </w:tc>
        <w:tc>
          <w:tcPr>
            <w:tcW w:type="dxa" w:w="18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174042,1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64108,8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36,8</w:t>
            </w:r>
          </w:p>
        </w:tc>
      </w:tr>
      <w:tr>
        <w:trPr>
          <w:trHeight w:hRule="atLeast" w:val="746"/>
        </w:trPr>
        <w:tc>
          <w:tcPr>
            <w:tcW w:type="dxa" w:w="3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rPr>
                <w:sz w:val="28"/>
              </w:rPr>
            </w:pPr>
            <w:r>
              <w:rPr>
                <w:sz w:val="28"/>
              </w:rPr>
              <w:t>05 «Жилищно-коммунальное хозяйство»</w:t>
            </w:r>
          </w:p>
        </w:tc>
        <w:tc>
          <w:tcPr>
            <w:tcW w:type="dxa" w:w="18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146392,3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28252,1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19,3</w:t>
            </w:r>
          </w:p>
        </w:tc>
      </w:tr>
      <w:tr>
        <w:trPr>
          <w:trHeight w:hRule="atLeast" w:val="746"/>
        </w:trPr>
        <w:tc>
          <w:tcPr>
            <w:tcW w:type="dxa" w:w="3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rPr>
                <w:sz w:val="28"/>
              </w:rPr>
            </w:pPr>
            <w:r>
              <w:rPr>
                <w:sz w:val="28"/>
              </w:rPr>
              <w:t>06 «Охрана окружающей среды»</w:t>
            </w:r>
          </w:p>
        </w:tc>
        <w:tc>
          <w:tcPr>
            <w:tcW w:type="dxa" w:w="18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9836,1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rPr>
          <w:trHeight w:hRule="atLeast" w:val="575"/>
        </w:trPr>
        <w:tc>
          <w:tcPr>
            <w:tcW w:type="dxa" w:w="3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rPr>
                <w:sz w:val="28"/>
              </w:rPr>
            </w:pPr>
            <w:r>
              <w:rPr>
                <w:sz w:val="28"/>
              </w:rPr>
              <w:t>07 «Образование»</w:t>
            </w:r>
          </w:p>
        </w:tc>
        <w:tc>
          <w:tcPr>
            <w:tcW w:type="dxa" w:w="188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724894,7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190013,4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</w:tr>
      <w:tr>
        <w:trPr>
          <w:trHeight w:hRule="atLeast" w:val="119"/>
        </w:trPr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rPr>
                <w:sz w:val="28"/>
              </w:rPr>
            </w:pPr>
            <w:r>
              <w:rPr>
                <w:sz w:val="28"/>
              </w:rPr>
              <w:t>08 «Культура и кинематография»</w:t>
            </w:r>
          </w:p>
        </w:tc>
        <w:tc>
          <w:tcPr>
            <w:tcW w:type="dxa" w:w="18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145324,6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40815,9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28,1</w:t>
            </w:r>
          </w:p>
        </w:tc>
      </w:tr>
      <w:tr>
        <w:trPr>
          <w:trHeight w:hRule="atLeast" w:val="119"/>
        </w:trPr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rPr>
                <w:sz w:val="28"/>
              </w:rPr>
            </w:pPr>
            <w:r>
              <w:rPr>
                <w:sz w:val="28"/>
              </w:rPr>
              <w:t>10 «Социальная политика»</w:t>
            </w:r>
          </w:p>
        </w:tc>
        <w:tc>
          <w:tcPr>
            <w:tcW w:type="dxa" w:w="18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233370,8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64699,8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27,7</w:t>
            </w:r>
          </w:p>
        </w:tc>
      </w:tr>
      <w:tr>
        <w:trPr>
          <w:trHeight w:hRule="atLeast" w:val="119"/>
        </w:trPr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rPr>
                <w:sz w:val="28"/>
              </w:rPr>
            </w:pPr>
            <w:r>
              <w:rPr>
                <w:sz w:val="28"/>
              </w:rPr>
              <w:t>11 «Физическая культура и спорт»</w:t>
            </w:r>
          </w:p>
        </w:tc>
        <w:tc>
          <w:tcPr>
            <w:tcW w:type="dxa" w:w="18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1535,0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356,2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23,2</w:t>
            </w:r>
          </w:p>
        </w:tc>
      </w:tr>
      <w:tr>
        <w:trPr>
          <w:trHeight w:hRule="atLeast" w:val="119"/>
        </w:trPr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rPr>
                <w:sz w:val="28"/>
              </w:rPr>
            </w:pPr>
            <w:r>
              <w:rPr>
                <w:sz w:val="28"/>
              </w:rPr>
              <w:t>12 «Средства массовой информации»</w:t>
            </w:r>
          </w:p>
        </w:tc>
        <w:tc>
          <w:tcPr>
            <w:tcW w:type="dxa" w:w="18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3800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1312,8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34,5</w:t>
            </w:r>
          </w:p>
        </w:tc>
      </w:tr>
      <w:tr>
        <w:trPr>
          <w:trHeight w:hRule="atLeast" w:val="529"/>
        </w:trPr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00000">
            <w:pPr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type="dxa" w:w="188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1568966,9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0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420456,1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26,8</w:t>
            </w:r>
          </w:p>
        </w:tc>
      </w:tr>
    </w:tbl>
    <w:p w14:paraId="B9000000">
      <w:pPr>
        <w:pStyle w:val="Style_5"/>
        <w:widowControl w:val="0"/>
        <w:spacing w:line="264" w:lineRule="auto"/>
        <w:ind/>
        <w:jc w:val="both"/>
        <w:rPr>
          <w:b w:val="1"/>
          <w:i w:val="1"/>
          <w:sz w:val="28"/>
        </w:rPr>
      </w:pPr>
    </w:p>
    <w:p w14:paraId="BA000000">
      <w:pPr>
        <w:pStyle w:val="Style_5"/>
        <w:widowControl w:val="0"/>
        <w:spacing w:line="264" w:lineRule="auto"/>
        <w:ind w:firstLine="851" w:left="0"/>
        <w:jc w:val="both"/>
        <w:rPr>
          <w:b w:val="1"/>
          <w:i w:val="1"/>
          <w:sz w:val="28"/>
        </w:rPr>
      </w:pPr>
    </w:p>
    <w:p w14:paraId="BB000000">
      <w:pPr>
        <w:pStyle w:val="Style_5"/>
        <w:widowControl w:val="0"/>
        <w:spacing w:line="264" w:lineRule="auto"/>
        <w:ind w:firstLine="851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Раздел 01 «Общегосударственные вопросы» - </w:t>
      </w:r>
      <w:r>
        <w:rPr>
          <w:sz w:val="28"/>
        </w:rPr>
        <w:t>расходы за 1 квартал 2025 года составили 29238,7</w:t>
      </w:r>
      <w:r>
        <w:rPr>
          <w:b w:val="1"/>
          <w:sz w:val="28"/>
        </w:rPr>
        <w:t xml:space="preserve"> </w:t>
      </w:r>
      <w:r>
        <w:rPr>
          <w:sz w:val="28"/>
        </w:rPr>
        <w:t>тыс. руб. или 20,9% от утвержденного годового объема бюджетных назначений, что составляет 6,95% общего объема расходов.</w:t>
      </w:r>
    </w:p>
    <w:p w14:paraId="BC000000">
      <w:pPr>
        <w:pStyle w:val="Style_5"/>
        <w:widowControl w:val="0"/>
        <w:numPr>
          <w:ilvl w:val="0"/>
          <w:numId w:val="7"/>
        </w:numPr>
        <w:spacing w:line="264" w:lineRule="auto"/>
        <w:ind/>
        <w:jc w:val="both"/>
        <w:rPr>
          <w:sz w:val="28"/>
        </w:rPr>
      </w:pPr>
      <w:r>
        <w:rPr>
          <w:sz w:val="28"/>
        </w:rPr>
        <w:t>по подразделу 0102 - «Функционирование высшего должностного лица субъекта Российской Федерации и муниципального образования» расходы  составили 953,4 тыс. руб., или 42,4 % от утвержденного годового объема бюджетных назначений;</w:t>
      </w:r>
    </w:p>
    <w:p w14:paraId="BD000000">
      <w:pPr>
        <w:pStyle w:val="Style_5"/>
        <w:widowControl w:val="0"/>
        <w:numPr>
          <w:ilvl w:val="0"/>
          <w:numId w:val="7"/>
        </w:numPr>
        <w:spacing w:line="264" w:lineRule="auto"/>
        <w:ind/>
        <w:jc w:val="both"/>
        <w:rPr>
          <w:sz w:val="28"/>
        </w:rPr>
      </w:pPr>
      <w:r>
        <w:rPr>
          <w:sz w:val="28"/>
        </w:rPr>
        <w:t>по подразделу 0103 - «Функционирование законодательных (представительных) органов государственной власти и представительных органов муниципальных образований» расходы составили 470,1 тыс. руб. или 23,6% от утвержденного годового объема бюджетных назначений;</w:t>
      </w:r>
    </w:p>
    <w:p w14:paraId="BE000000">
      <w:pPr>
        <w:pStyle w:val="Style_5"/>
        <w:widowControl w:val="0"/>
        <w:numPr>
          <w:numId w:val="7"/>
        </w:numPr>
        <w:spacing w:line="264" w:lineRule="auto"/>
        <w:ind/>
        <w:jc w:val="both"/>
        <w:rPr>
          <w:sz w:val="28"/>
        </w:rPr>
      </w:pPr>
      <w:r>
        <w:rPr>
          <w:sz w:val="28"/>
        </w:rPr>
        <w:t>по подразделу 0104 -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составили 22646,5 тыс. руб. или 28,4% от утвержденного годового объема бюджетных назначений;</w:t>
      </w:r>
    </w:p>
    <w:p w14:paraId="BF000000">
      <w:pPr>
        <w:pStyle w:val="Style_5"/>
        <w:widowControl w:val="0"/>
        <w:numPr>
          <w:ilvl w:val="0"/>
          <w:numId w:val="7"/>
        </w:numPr>
        <w:spacing w:line="264" w:lineRule="auto"/>
        <w:ind/>
        <w:jc w:val="both"/>
        <w:rPr>
          <w:sz w:val="28"/>
        </w:rPr>
      </w:pPr>
      <w:r>
        <w:rPr>
          <w:sz w:val="28"/>
        </w:rPr>
        <w:t>по подразделу 0105 – «Судебная система» расходы не производились;</w:t>
      </w:r>
    </w:p>
    <w:p w14:paraId="C0000000">
      <w:pPr>
        <w:pStyle w:val="Style_5"/>
        <w:widowControl w:val="0"/>
        <w:numPr>
          <w:ilvl w:val="0"/>
          <w:numId w:val="7"/>
        </w:numPr>
        <w:ind/>
        <w:jc w:val="both"/>
        <w:rPr>
          <w:sz w:val="28"/>
        </w:rPr>
      </w:pPr>
      <w:r>
        <w:rPr>
          <w:sz w:val="28"/>
        </w:rPr>
        <w:t>по подразделу 0106 - «Обеспечение деятельности финансовых, налоговых и таможенных органов и органов финансового (финансово-бюджетного) надзора» расходы составили 2239,8 тыс. руб. или 21,2 % от утвержденного годового объема бюджетных назначений;</w:t>
      </w:r>
    </w:p>
    <w:p w14:paraId="C1000000">
      <w:pPr>
        <w:pStyle w:val="Style_5"/>
        <w:widowControl w:val="0"/>
        <w:numPr>
          <w:ilvl w:val="0"/>
          <w:numId w:val="7"/>
        </w:numPr>
        <w:ind/>
        <w:jc w:val="both"/>
        <w:rPr>
          <w:sz w:val="28"/>
        </w:rPr>
      </w:pPr>
      <w:r>
        <w:rPr>
          <w:sz w:val="28"/>
        </w:rPr>
        <w:t>по подразделу 0111 - «Резервные фонды» расходы не производились.</w:t>
      </w:r>
    </w:p>
    <w:p w14:paraId="C2000000">
      <w:pPr>
        <w:pStyle w:val="Style_5"/>
        <w:widowControl w:val="0"/>
        <w:numPr>
          <w:ilvl w:val="0"/>
          <w:numId w:val="7"/>
        </w:numPr>
        <w:ind/>
        <w:jc w:val="both"/>
        <w:rPr>
          <w:sz w:val="28"/>
        </w:rPr>
      </w:pPr>
      <w:r>
        <w:rPr>
          <w:sz w:val="28"/>
        </w:rPr>
        <w:t>по подразделу 0113 - «Другие общегосударственный расходы» расходы составили 2929,0 тыс. руб. или 21,3 % от утвержденного годового объема бюджетных назначений.</w:t>
      </w:r>
    </w:p>
    <w:p w14:paraId="C3000000">
      <w:pPr>
        <w:pStyle w:val="Style_5"/>
        <w:widowControl w:val="0"/>
        <w:ind/>
        <w:jc w:val="both"/>
        <w:rPr>
          <w:sz w:val="28"/>
        </w:rPr>
      </w:pPr>
    </w:p>
    <w:p w14:paraId="C4000000">
      <w:pPr>
        <w:pStyle w:val="Style_5"/>
        <w:widowControl w:val="0"/>
        <w:ind w:firstLine="85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Раздел 02 «Национальная оборона» - </w:t>
      </w:r>
      <w:r>
        <w:rPr>
          <w:sz w:val="28"/>
        </w:rPr>
        <w:t>израсходовано 408,1 тыс.руб., что составляет 20,1% от утвержденного годового объема бюджетных назначений.</w:t>
      </w:r>
    </w:p>
    <w:p w14:paraId="C5000000">
      <w:pPr>
        <w:pStyle w:val="Style_5"/>
        <w:widowControl w:val="0"/>
        <w:numPr>
          <w:ilvl w:val="0"/>
          <w:numId w:val="8"/>
        </w:numPr>
        <w:spacing w:after="113"/>
        <w:ind/>
        <w:jc w:val="both"/>
        <w:rPr>
          <w:sz w:val="28"/>
        </w:rPr>
      </w:pPr>
      <w:r>
        <w:rPr>
          <w:sz w:val="28"/>
        </w:rPr>
        <w:t>по подразделу 0203 – «Мобилизационная и вневойсковая подготовка» расходы составили 408,1 тыс. руб. или 20,1 % от утвержденного годового объема бюджетных назначений.</w:t>
      </w:r>
    </w:p>
    <w:p w14:paraId="C6000000">
      <w:pPr>
        <w:pStyle w:val="Style_5"/>
        <w:widowControl w:val="0"/>
        <w:ind w:firstLine="454" w:left="113"/>
        <w:jc w:val="both"/>
        <w:rPr>
          <w:sz w:val="28"/>
        </w:rPr>
      </w:pPr>
    </w:p>
    <w:p w14:paraId="C7000000">
      <w:pPr>
        <w:pStyle w:val="Style_5"/>
        <w:widowControl w:val="0"/>
        <w:ind w:firstLine="85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Раздел 03 «Национальная безопасность и правоохранительная деятельность» - </w:t>
      </w:r>
      <w:r>
        <w:rPr>
          <w:sz w:val="28"/>
        </w:rPr>
        <w:t>расходы составили 1250,3 тыс. руб., или 6,8% от утвержденного годового объема бюджетных назначений.</w:t>
      </w:r>
    </w:p>
    <w:p w14:paraId="C8000000">
      <w:pPr>
        <w:pStyle w:val="Style_5"/>
        <w:widowControl w:val="0"/>
        <w:numPr>
          <w:ilvl w:val="0"/>
          <w:numId w:val="9"/>
        </w:numPr>
        <w:ind/>
        <w:jc w:val="both"/>
        <w:rPr>
          <w:sz w:val="28"/>
        </w:rPr>
      </w:pPr>
      <w:r>
        <w:rPr>
          <w:sz w:val="28"/>
        </w:rPr>
        <w:t>по подразделу 0309 – «Гражданская оборона» расходы составили 1246,7 тыс. руб. или 14,2 % от утвержденного годового объема бюджетных назначений;</w:t>
      </w:r>
    </w:p>
    <w:p w14:paraId="C9000000">
      <w:pPr>
        <w:pStyle w:val="Style_5"/>
        <w:widowControl w:val="0"/>
        <w:numPr>
          <w:ilvl w:val="0"/>
          <w:numId w:val="9"/>
        </w:numPr>
        <w:ind/>
        <w:jc w:val="both"/>
        <w:rPr>
          <w:sz w:val="28"/>
        </w:rPr>
      </w:pPr>
      <w:r>
        <w:rPr>
          <w:sz w:val="28"/>
        </w:rPr>
        <w:t>по подразделу 0310 – «Защита населения и территории от чрезвычайных ситуаций природного и техногенного характера, пожарная безопасность» расходы составили 3,6 тыс. руб. или 0,04 % от утвержденного годового объема бюджетных назначений.</w:t>
      </w:r>
    </w:p>
    <w:p w14:paraId="CA000000">
      <w:pPr>
        <w:pStyle w:val="Style_5"/>
        <w:widowControl w:val="0"/>
        <w:ind w:firstLine="850" w:left="0"/>
        <w:jc w:val="both"/>
        <w:rPr>
          <w:sz w:val="28"/>
        </w:rPr>
      </w:pPr>
    </w:p>
    <w:p w14:paraId="CB000000">
      <w:pPr>
        <w:pStyle w:val="Style_5"/>
        <w:widowControl w:val="0"/>
        <w:ind w:firstLine="850" w:left="0"/>
        <w:jc w:val="both"/>
        <w:rPr>
          <w:i w:val="1"/>
          <w:sz w:val="28"/>
        </w:rPr>
      </w:pPr>
      <w:r>
        <w:rPr>
          <w:b w:val="1"/>
          <w:i w:val="1"/>
          <w:sz w:val="28"/>
        </w:rPr>
        <w:t xml:space="preserve">Раздел 04 «Национальная экономика» - </w:t>
      </w:r>
      <w:r>
        <w:rPr>
          <w:sz w:val="28"/>
        </w:rPr>
        <w:t>израсходовано 64108,8 тыс. руб. или 36,8 % от утвержденного годового объема бюджетных назначений.</w:t>
      </w:r>
    </w:p>
    <w:p w14:paraId="CC000000">
      <w:pPr>
        <w:pStyle w:val="Style_5"/>
        <w:widowControl w:val="0"/>
        <w:numPr>
          <w:numId w:val="10"/>
        </w:numPr>
        <w:ind/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t xml:space="preserve"> подразделу 0402 – «Топливно-энергетический комплекс» расходы составили 6446,8 тыс.руб., или 14,9 % </w:t>
      </w:r>
      <w:r>
        <w:rPr>
          <w:sz w:val="28"/>
        </w:rPr>
        <w:t>от утвержденного годового объема бюджетных назначений;</w:t>
      </w:r>
    </w:p>
    <w:p w14:paraId="CD000000">
      <w:pPr>
        <w:pStyle w:val="Style_5"/>
        <w:widowControl w:val="0"/>
        <w:numPr>
          <w:numId w:val="10"/>
        </w:numPr>
        <w:ind/>
        <w:jc w:val="both"/>
        <w:rPr>
          <w:sz w:val="28"/>
        </w:rPr>
      </w:pPr>
      <w:r>
        <w:rPr>
          <w:sz w:val="28"/>
        </w:rPr>
        <w:t xml:space="preserve">по подразделу 0403 – «Лесное хозяйство» </w:t>
      </w:r>
      <w:r>
        <w:rPr>
          <w:sz w:val="28"/>
        </w:rPr>
        <w:t>расходы не производились;</w:t>
      </w:r>
    </w:p>
    <w:p w14:paraId="CE000000">
      <w:pPr>
        <w:pStyle w:val="Style_5"/>
        <w:widowControl w:val="0"/>
        <w:numPr>
          <w:numId w:val="10"/>
        </w:numPr>
        <w:ind/>
        <w:jc w:val="both"/>
        <w:rPr>
          <w:sz w:val="28"/>
        </w:rPr>
      </w:pPr>
      <w:r>
        <w:rPr>
          <w:sz w:val="28"/>
        </w:rPr>
        <w:t xml:space="preserve">по подразделу 0408 – «Транспорт» расходы составили 6826,8 тыс.руб., или 28,6 % </w:t>
      </w:r>
      <w:r>
        <w:rPr>
          <w:sz w:val="28"/>
        </w:rPr>
        <w:t>от утвержденного годового объема бюджетных назначений;</w:t>
      </w:r>
      <w:r>
        <w:rPr>
          <w:sz w:val="28"/>
        </w:rPr>
        <w:t xml:space="preserve"> </w:t>
      </w:r>
    </w:p>
    <w:p w14:paraId="CF000000">
      <w:pPr>
        <w:pStyle w:val="Style_5"/>
        <w:widowControl w:val="0"/>
        <w:numPr>
          <w:numId w:val="10"/>
        </w:numPr>
        <w:ind/>
        <w:jc w:val="both"/>
        <w:rPr>
          <w:sz w:val="28"/>
        </w:rPr>
      </w:pPr>
      <w:r>
        <w:rPr>
          <w:sz w:val="28"/>
        </w:rPr>
        <w:t xml:space="preserve">по подразделу 0409 – «Дорожное хозяйство (дорожные фонды» расходы составили 50798,6 тыс.руб., или 53,3 % </w:t>
      </w:r>
      <w:r>
        <w:rPr>
          <w:sz w:val="28"/>
        </w:rPr>
        <w:t>от утвержденного годового объема бюджетных назначений;</w:t>
      </w:r>
    </w:p>
    <w:p w14:paraId="D0000000">
      <w:pPr>
        <w:pStyle w:val="Style_5"/>
        <w:widowControl w:val="0"/>
        <w:numPr>
          <w:numId w:val="10"/>
        </w:numPr>
        <w:ind/>
        <w:jc w:val="both"/>
        <w:rPr>
          <w:sz w:val="28"/>
        </w:rPr>
      </w:pPr>
      <w:r>
        <w:rPr>
          <w:sz w:val="28"/>
        </w:rPr>
        <w:t xml:space="preserve">по подразделу 0412 – «Другие возможности в области национальной экономики» расходы составили 36,6 тыс.руб., или 0,3 % </w:t>
      </w:r>
      <w:r>
        <w:rPr>
          <w:sz w:val="28"/>
        </w:rPr>
        <w:t>от утвержденного годового объема бюджетных назначений.</w:t>
      </w:r>
    </w:p>
    <w:p w14:paraId="D1000000">
      <w:pPr>
        <w:pStyle w:val="Style_5"/>
        <w:widowControl w:val="0"/>
        <w:ind/>
        <w:jc w:val="both"/>
        <w:rPr>
          <w:sz w:val="28"/>
        </w:rPr>
      </w:pPr>
    </w:p>
    <w:p w14:paraId="D2000000">
      <w:pPr>
        <w:pStyle w:val="Style_5"/>
        <w:widowControl w:val="0"/>
        <w:ind w:firstLine="850" w:left="0"/>
        <w:jc w:val="both"/>
        <w:rPr>
          <w:i w:val="1"/>
          <w:sz w:val="28"/>
        </w:rPr>
      </w:pPr>
      <w:r>
        <w:rPr>
          <w:b w:val="1"/>
          <w:i w:val="1"/>
          <w:sz w:val="28"/>
        </w:rPr>
        <w:t xml:space="preserve">Раздел 05 «Жилищно-коммунальное хозяйство» - </w:t>
      </w:r>
      <w:r>
        <w:rPr>
          <w:sz w:val="28"/>
        </w:rPr>
        <w:t>исполнение 28252,1 тыс. руб. или 19,3% от утвержденного годового объема бюджетных назначений.</w:t>
      </w:r>
    </w:p>
    <w:p w14:paraId="D3000000">
      <w:pPr>
        <w:pStyle w:val="Style_5"/>
        <w:widowControl w:val="0"/>
        <w:numPr>
          <w:ilvl w:val="0"/>
          <w:numId w:val="11"/>
        </w:numPr>
        <w:ind/>
        <w:jc w:val="both"/>
        <w:rPr>
          <w:sz w:val="28"/>
        </w:rPr>
      </w:pPr>
      <w:r>
        <w:rPr>
          <w:sz w:val="28"/>
        </w:rPr>
        <w:t>по подразделу 0501 – «Жилищное хозяйство» расходы составили 2239,8 тыс. руб. или 21,2 % от утвержденного годового объема бюджетных назначений;</w:t>
      </w:r>
    </w:p>
    <w:p w14:paraId="D4000000">
      <w:pPr>
        <w:pStyle w:val="Style_5"/>
        <w:widowControl w:val="0"/>
        <w:numPr>
          <w:ilvl w:val="0"/>
          <w:numId w:val="11"/>
        </w:numPr>
        <w:ind/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t xml:space="preserve"> подразделу 0502 – «Коммунальное хозяйство» расходы составили 24142,2 тыс. руб. или 33,0 % от утвержденного годового объема бюджетных назначений;</w:t>
      </w:r>
    </w:p>
    <w:p w14:paraId="D5000000">
      <w:pPr>
        <w:pStyle w:val="Style_5"/>
        <w:widowControl w:val="0"/>
        <w:numPr>
          <w:ilvl w:val="0"/>
          <w:numId w:val="11"/>
        </w:numPr>
        <w:ind/>
        <w:jc w:val="both"/>
        <w:rPr>
          <w:sz w:val="28"/>
        </w:rPr>
      </w:pPr>
      <w:r>
        <w:rPr>
          <w:sz w:val="28"/>
        </w:rPr>
        <w:t>по подразделу 0503 – «Благоустройство» расходы составили 1849,1 тыс. руб. или 3,0 % от утвержденного годового объема бюджетных назначений;</w:t>
      </w:r>
    </w:p>
    <w:p w14:paraId="D6000000">
      <w:pPr>
        <w:pStyle w:val="Style_5"/>
        <w:widowControl w:val="0"/>
        <w:numPr>
          <w:ilvl w:val="0"/>
          <w:numId w:val="11"/>
        </w:numPr>
        <w:ind/>
        <w:jc w:val="both"/>
        <w:rPr>
          <w:sz w:val="28"/>
        </w:rPr>
      </w:pPr>
      <w:r>
        <w:rPr>
          <w:sz w:val="28"/>
        </w:rPr>
        <w:t>по подразделу 0505 – «Другие вопросы в области жилищно - коммунального хозяйства» расходы составили 2109,3 тыс. руб. или 21,8 % от утвержденного годового объема бюджетных назначений.</w:t>
      </w:r>
    </w:p>
    <w:p w14:paraId="D7000000">
      <w:pPr>
        <w:pStyle w:val="Style_5"/>
        <w:widowControl w:val="0"/>
        <w:ind/>
        <w:jc w:val="both"/>
        <w:rPr>
          <w:sz w:val="28"/>
        </w:rPr>
      </w:pPr>
    </w:p>
    <w:p w14:paraId="D8000000">
      <w:pPr>
        <w:pStyle w:val="Style_5"/>
        <w:widowControl w:val="0"/>
        <w:ind w:firstLine="850" w:left="0"/>
        <w:jc w:val="both"/>
        <w:rPr>
          <w:sz w:val="28"/>
        </w:rPr>
      </w:pPr>
      <w:r>
        <w:rPr>
          <w:b w:val="1"/>
          <w:i w:val="1"/>
          <w:sz w:val="28"/>
        </w:rPr>
        <w:t>Раздел 06 «Охрана окружающей среды» –</w:t>
      </w:r>
      <w:r>
        <w:rPr>
          <w:sz w:val="28"/>
        </w:rPr>
        <w:t xml:space="preserve"> расходы в 1 квартале 2025 года не производились</w:t>
      </w:r>
    </w:p>
    <w:p w14:paraId="D9000000">
      <w:pPr>
        <w:pStyle w:val="Style_5"/>
        <w:widowControl w:val="0"/>
        <w:ind w:firstLine="850" w:left="0"/>
        <w:jc w:val="both"/>
        <w:rPr>
          <w:sz w:val="28"/>
        </w:rPr>
      </w:pPr>
      <w:r>
        <w:rPr>
          <w:sz w:val="28"/>
        </w:rPr>
        <w:t xml:space="preserve"> </w:t>
      </w:r>
    </w:p>
    <w:p w14:paraId="DA000000">
      <w:pPr>
        <w:pStyle w:val="Style_5"/>
        <w:widowControl w:val="0"/>
        <w:ind w:firstLine="850" w:left="0"/>
        <w:jc w:val="both"/>
        <w:rPr>
          <w:sz w:val="28"/>
        </w:rPr>
      </w:pPr>
      <w:r>
        <w:rPr>
          <w:b w:val="1"/>
          <w:i w:val="1"/>
          <w:sz w:val="28"/>
        </w:rPr>
        <w:t>Раздел 07 «Образование» -</w:t>
      </w:r>
      <w:r>
        <w:rPr>
          <w:sz w:val="28"/>
        </w:rPr>
        <w:t xml:space="preserve"> расходы в 1 квартале 2025года составили 190013,4 тыс. руб. или 26,2% от утвержденного годового объема бюджетных назначений.</w:t>
      </w:r>
    </w:p>
    <w:p w14:paraId="DB000000">
      <w:pPr>
        <w:pStyle w:val="Style_5"/>
        <w:widowControl w:val="0"/>
        <w:numPr>
          <w:numId w:val="12"/>
        </w:numPr>
        <w:ind/>
        <w:jc w:val="both"/>
        <w:rPr>
          <w:sz w:val="28"/>
        </w:rPr>
      </w:pPr>
      <w:r>
        <w:rPr>
          <w:sz w:val="28"/>
        </w:rPr>
        <w:t>по подразделу 0701 – «Дошкольное образование» расходы составили 47779,8 тыс. руб. или 24,3 % от утвержденного годового объема бюджетных назначений;</w:t>
      </w:r>
    </w:p>
    <w:p w14:paraId="DC000000">
      <w:pPr>
        <w:pStyle w:val="Style_5"/>
        <w:widowControl w:val="0"/>
        <w:numPr>
          <w:numId w:val="12"/>
        </w:numPr>
        <w:ind/>
        <w:jc w:val="both"/>
        <w:rPr>
          <w:sz w:val="28"/>
        </w:rPr>
      </w:pPr>
      <w:r>
        <w:rPr>
          <w:sz w:val="28"/>
        </w:rPr>
        <w:t>по подразделу 0702 – «Общее образование» расходы составили 114726,1 тыс. руб. или 27,3 % от утвержденного годового объема бюджетных назначений;</w:t>
      </w:r>
    </w:p>
    <w:p w14:paraId="DD000000">
      <w:pPr>
        <w:pStyle w:val="Style_5"/>
        <w:widowControl w:val="0"/>
        <w:numPr>
          <w:numId w:val="12"/>
        </w:numPr>
        <w:ind/>
        <w:jc w:val="both"/>
        <w:rPr>
          <w:sz w:val="28"/>
        </w:rPr>
      </w:pPr>
      <w:r>
        <w:rPr>
          <w:sz w:val="28"/>
        </w:rPr>
        <w:t>по подразделу 0703 – «Дополнительное образование детей» расходы составили 20807,1 тыс. руб. или 27,2 % от утвержденного годового объема бюджетных назначений;</w:t>
      </w:r>
    </w:p>
    <w:p w14:paraId="DE000000">
      <w:pPr>
        <w:pStyle w:val="Style_5"/>
        <w:widowControl w:val="0"/>
        <w:numPr>
          <w:numId w:val="12"/>
        </w:numPr>
        <w:ind/>
        <w:jc w:val="both"/>
        <w:rPr>
          <w:sz w:val="28"/>
        </w:rPr>
      </w:pPr>
      <w:r>
        <w:rPr>
          <w:sz w:val="28"/>
        </w:rPr>
        <w:t xml:space="preserve">по подразделу 0707 – «Молодежная политика» расходы </w:t>
      </w:r>
      <w:r>
        <w:rPr>
          <w:sz w:val="28"/>
        </w:rPr>
        <w:t>расходы в 1 квартале 2025 года не производились;</w:t>
      </w:r>
    </w:p>
    <w:p w14:paraId="DF000000">
      <w:pPr>
        <w:pStyle w:val="Style_5"/>
        <w:widowControl w:val="0"/>
        <w:numPr>
          <w:numId w:val="12"/>
        </w:numPr>
        <w:spacing w:after="0"/>
        <w:ind/>
        <w:jc w:val="both"/>
        <w:rPr>
          <w:sz w:val="28"/>
        </w:rPr>
      </w:pPr>
      <w:r>
        <w:rPr>
          <w:sz w:val="28"/>
        </w:rPr>
        <w:t>по подразделу 0709 – «Другие вопросы в области образования» расходы составили 6700,3 тыс. руб. или 22,0 % от утвержденного годового объема бюджетных назначений.</w:t>
      </w:r>
    </w:p>
    <w:p w14:paraId="E0000000">
      <w:pPr>
        <w:pStyle w:val="Style_5"/>
        <w:widowControl w:val="0"/>
        <w:spacing w:after="0"/>
        <w:ind/>
        <w:jc w:val="both"/>
        <w:rPr>
          <w:sz w:val="28"/>
        </w:rPr>
      </w:pPr>
    </w:p>
    <w:p w14:paraId="E1000000">
      <w:pPr>
        <w:pStyle w:val="Style_5"/>
        <w:widowControl w:val="0"/>
        <w:spacing w:after="0"/>
        <w:ind/>
        <w:jc w:val="both"/>
        <w:rPr>
          <w:sz w:val="28"/>
        </w:rPr>
      </w:pPr>
    </w:p>
    <w:p w14:paraId="E2000000">
      <w:pPr>
        <w:pStyle w:val="Style_5"/>
        <w:widowControl w:val="0"/>
        <w:ind w:firstLine="850" w:left="0"/>
        <w:jc w:val="both"/>
        <w:rPr>
          <w:i w:val="1"/>
          <w:sz w:val="28"/>
        </w:rPr>
      </w:pPr>
      <w:r>
        <w:rPr>
          <w:b w:val="1"/>
          <w:i w:val="1"/>
          <w:sz w:val="28"/>
        </w:rPr>
        <w:t>Раздел 08 «Культура, кинематография»</w:t>
      </w:r>
      <w:r>
        <w:rPr>
          <w:i w:val="1"/>
          <w:sz w:val="28"/>
        </w:rPr>
        <w:t xml:space="preserve"> -</w:t>
      </w:r>
      <w:r>
        <w:rPr>
          <w:sz w:val="28"/>
        </w:rPr>
        <w:t xml:space="preserve"> расходы за 1 квартал 2025 года составили 40815,9 тыс. руб. или 28,1% от утвержденного годового объема бюджетных назначений.</w:t>
      </w:r>
    </w:p>
    <w:p w14:paraId="E3000000">
      <w:pPr>
        <w:pStyle w:val="Style_5"/>
        <w:widowControl w:val="0"/>
        <w:numPr>
          <w:numId w:val="13"/>
        </w:numPr>
        <w:ind/>
        <w:jc w:val="both"/>
        <w:rPr>
          <w:sz w:val="28"/>
        </w:rPr>
      </w:pPr>
      <w:r>
        <w:rPr>
          <w:sz w:val="28"/>
        </w:rPr>
        <w:t>по подразделу 0801 – «Культура» расходы составили 27960,8 тыс. руб. или 26,5 % от утвержденного годового объема бюджетных назначений;</w:t>
      </w:r>
    </w:p>
    <w:p w14:paraId="E4000000">
      <w:pPr>
        <w:pStyle w:val="Style_5"/>
        <w:widowControl w:val="0"/>
        <w:numPr>
          <w:numId w:val="13"/>
        </w:numPr>
        <w:spacing w:after="0"/>
        <w:ind/>
        <w:jc w:val="both"/>
        <w:rPr>
          <w:sz w:val="28"/>
        </w:rPr>
      </w:pPr>
      <w:r>
        <w:rPr>
          <w:sz w:val="28"/>
        </w:rPr>
        <w:t>по подразделу 0804 – «Другие вопросы в области культуры, кинематографии» расходы составили 12855,1 тыс. руб. или 32,3 % от утвержденного годового объема бюджетных назначений.</w:t>
      </w:r>
    </w:p>
    <w:p w14:paraId="E5000000">
      <w:pPr>
        <w:pStyle w:val="Style_5"/>
        <w:widowControl w:val="0"/>
        <w:spacing w:after="283"/>
        <w:ind/>
        <w:jc w:val="both"/>
        <w:rPr>
          <w:sz w:val="28"/>
        </w:rPr>
      </w:pPr>
    </w:p>
    <w:p w14:paraId="E6000000">
      <w:pPr>
        <w:pStyle w:val="Style_5"/>
        <w:widowControl w:val="0"/>
        <w:spacing w:after="283"/>
        <w:ind w:firstLine="709"/>
        <w:jc w:val="both"/>
        <w:rPr>
          <w:sz w:val="28"/>
        </w:rPr>
      </w:pPr>
      <w:r>
        <w:rPr>
          <w:b w:val="1"/>
          <w:i w:val="1"/>
          <w:sz w:val="28"/>
        </w:rPr>
        <w:t xml:space="preserve">Раздел 10 «Социальная политика» - </w:t>
      </w:r>
      <w:r>
        <w:rPr>
          <w:sz w:val="28"/>
        </w:rPr>
        <w:t>расходы в 1 квартале 2024 года составили 38947,3 тыс. руб.  или 14,3% от утвержденного годового объема бюджетных назначений.</w:t>
      </w:r>
    </w:p>
    <w:p w14:paraId="E7000000">
      <w:pPr>
        <w:widowControl w:val="0"/>
        <w:numPr>
          <w:numId w:val="14"/>
        </w:numPr>
        <w:spacing w:after="113" w:before="283"/>
        <w:ind/>
        <w:rPr>
          <w:sz w:val="28"/>
        </w:rPr>
      </w:pPr>
      <w:r>
        <w:rPr>
          <w:sz w:val="28"/>
        </w:rPr>
        <w:t>по подразделу 1001 – «Пенсионное обеспечение» расходы составили 1946,9 тыс. руб. или 38,9 % от утвержденного годового объема бюджетных назначений;</w:t>
      </w:r>
    </w:p>
    <w:p w14:paraId="E8000000">
      <w:pPr>
        <w:widowControl w:val="0"/>
        <w:numPr>
          <w:numId w:val="14"/>
        </w:numPr>
        <w:spacing w:after="113" w:before="283"/>
        <w:ind/>
        <w:rPr>
          <w:sz w:val="28"/>
        </w:rPr>
      </w:pPr>
      <w:r>
        <w:rPr>
          <w:sz w:val="28"/>
        </w:rPr>
        <w:t>по подразделу 1002 – «Социальное обслуживание населения» расходы составили 24330,3 тыс. руб. или 25,9 % от утвержденного годового объема бюджетных назначений;</w:t>
      </w:r>
    </w:p>
    <w:p w14:paraId="E9000000">
      <w:pPr>
        <w:widowControl w:val="0"/>
        <w:numPr>
          <w:numId w:val="14"/>
        </w:numPr>
        <w:spacing w:after="113" w:before="283"/>
        <w:ind/>
        <w:rPr>
          <w:sz w:val="28"/>
        </w:rPr>
      </w:pPr>
      <w:r>
        <w:rPr>
          <w:sz w:val="28"/>
        </w:rPr>
        <w:t>по подразделу 1003 – «Социальное обеспечение населения» расходы составили 2300,3 тыс. руб. или 18,5 % от утвержденного годового объема бюджетных назначений;</w:t>
      </w:r>
    </w:p>
    <w:p w14:paraId="EA000000">
      <w:pPr>
        <w:widowControl w:val="0"/>
        <w:numPr>
          <w:numId w:val="15"/>
        </w:numPr>
        <w:spacing w:after="113" w:before="283"/>
        <w:ind/>
        <w:rPr>
          <w:sz w:val="28"/>
        </w:rPr>
      </w:pPr>
      <w:r>
        <w:rPr>
          <w:sz w:val="28"/>
        </w:rPr>
        <w:t>по подразделу 1004 – «Охрана семьи и детства» расходы составили 29415,4 тыс. руб. или 31,8 % от утвержденного годового объема бюджетных назначений;</w:t>
      </w:r>
    </w:p>
    <w:p w14:paraId="EB000000">
      <w:pPr>
        <w:widowControl w:val="0"/>
        <w:numPr>
          <w:numId w:val="15"/>
        </w:numPr>
        <w:spacing w:after="0" w:before="283"/>
        <w:ind/>
        <w:rPr>
          <w:sz w:val="28"/>
        </w:rPr>
      </w:pPr>
      <w:r>
        <w:rPr>
          <w:sz w:val="28"/>
        </w:rPr>
        <w:t>по подразделу 1006 – «Другие вопросы в области социальной политики» расходы составили 6707,0 тыс. руб. или 22,8 % от утвержденного годового объема бюджетных назначений.</w:t>
      </w:r>
    </w:p>
    <w:p w14:paraId="EC000000">
      <w:pPr>
        <w:widowControl w:val="0"/>
        <w:ind w:firstLine="850" w:left="0"/>
        <w:rPr>
          <w:sz w:val="28"/>
        </w:rPr>
      </w:pPr>
    </w:p>
    <w:p w14:paraId="ED000000">
      <w:pPr>
        <w:widowControl w:val="0"/>
        <w:ind w:firstLine="850" w:left="0"/>
        <w:rPr>
          <w:sz w:val="28"/>
        </w:rPr>
      </w:pPr>
    </w:p>
    <w:p w14:paraId="EE000000">
      <w:pPr>
        <w:widowControl w:val="0"/>
        <w:spacing w:after="113"/>
        <w:ind w:firstLine="850" w:left="0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Раздел 11 «Физическая культура и спорт» </w:t>
      </w:r>
      <w:r>
        <w:rPr>
          <w:i w:val="1"/>
          <w:sz w:val="28"/>
        </w:rPr>
        <w:t xml:space="preserve">- </w:t>
      </w:r>
      <w:r>
        <w:rPr>
          <w:sz w:val="28"/>
        </w:rPr>
        <w:t>расходы в 1 квартале 2025 года составили 356,2 тыс. руб. или 23,2% от утвержденного годового объема бюджетных назначений</w:t>
      </w:r>
    </w:p>
    <w:p w14:paraId="EF000000">
      <w:pPr>
        <w:widowControl w:val="0"/>
        <w:numPr>
          <w:numId w:val="16"/>
        </w:numPr>
        <w:spacing w:after="113"/>
        <w:ind/>
        <w:rPr>
          <w:sz w:val="28"/>
        </w:rPr>
      </w:pPr>
      <w:r>
        <w:rPr>
          <w:sz w:val="28"/>
        </w:rPr>
        <w:t>по подразделу 1101 – «Физическая культура» расходы составили 327,6 тыс. руб. или 20,5 % от утвержденного годового объема бюджетных назначений;</w:t>
      </w:r>
    </w:p>
    <w:p w14:paraId="F0000000">
      <w:pPr>
        <w:widowControl w:val="0"/>
        <w:numPr>
          <w:numId w:val="16"/>
        </w:numPr>
        <w:spacing w:after="0"/>
        <w:ind/>
        <w:rPr>
          <w:sz w:val="28"/>
        </w:rPr>
      </w:pPr>
      <w:r>
        <w:rPr>
          <w:sz w:val="28"/>
        </w:rPr>
        <w:t>по подразделу 1102 – «Массовый спорт» расходы составили 28,6 тыс. руб. или 20,4 % от утвержденного годового объема бюджетных назначений.</w:t>
      </w:r>
    </w:p>
    <w:p w14:paraId="F1000000">
      <w:pPr>
        <w:widowControl w:val="0"/>
        <w:ind w:firstLine="850" w:left="0"/>
        <w:rPr>
          <w:sz w:val="28"/>
        </w:rPr>
      </w:pPr>
    </w:p>
    <w:p w14:paraId="F2000000">
      <w:pPr>
        <w:widowControl w:val="0"/>
        <w:ind w:firstLine="850" w:left="0"/>
        <w:rPr>
          <w:sz w:val="28"/>
        </w:rPr>
      </w:pPr>
    </w:p>
    <w:p w14:paraId="F3000000">
      <w:pPr>
        <w:widowControl w:val="0"/>
        <w:spacing w:after="113"/>
        <w:ind w:firstLine="850" w:left="0"/>
        <w:jc w:val="both"/>
        <w:rPr>
          <w:sz w:val="28"/>
        </w:rPr>
      </w:pPr>
      <w:r>
        <w:rPr>
          <w:b w:val="1"/>
          <w:i w:val="1"/>
          <w:sz w:val="28"/>
        </w:rPr>
        <w:t xml:space="preserve">Раздел 12 «Средства массовой информации» - </w:t>
      </w:r>
      <w:r>
        <w:rPr>
          <w:sz w:val="28"/>
        </w:rPr>
        <w:t>расходы в 1 квартале 2025 года составили 1312,8 тыс. руб. или 34,5% от утвержденного годового объема бюджетных назначений</w:t>
      </w:r>
    </w:p>
    <w:p w14:paraId="F4000000">
      <w:pPr>
        <w:widowControl w:val="0"/>
        <w:numPr>
          <w:numId w:val="17"/>
        </w:numPr>
        <w:spacing w:after="113"/>
        <w:ind/>
        <w:rPr>
          <w:sz w:val="28"/>
        </w:rPr>
      </w:pPr>
      <w:r>
        <w:rPr>
          <w:sz w:val="28"/>
        </w:rPr>
        <w:t>по подразделу 1202 – «Периодическая печать и издательства» расходы составили 1312,8 тыс. руб. или 34,5 % от утвержденного годового объема бюджетных назначений.</w:t>
      </w:r>
    </w:p>
    <w:p w14:paraId="F5000000">
      <w:pPr>
        <w:widowControl w:val="0"/>
        <w:spacing w:after="113"/>
        <w:ind w:firstLine="850" w:left="0"/>
        <w:jc w:val="both"/>
        <w:rPr>
          <w:sz w:val="28"/>
        </w:rPr>
      </w:pPr>
    </w:p>
    <w:p w14:paraId="F6000000">
      <w:pPr>
        <w:pStyle w:val="Style_6"/>
        <w:widowControl w:val="0"/>
        <w:ind/>
        <w:jc w:val="center"/>
        <w:rPr>
          <w:b w:val="1"/>
          <w:sz w:val="28"/>
        </w:rPr>
      </w:pPr>
    </w:p>
    <w:p w14:paraId="F7000000">
      <w:pPr>
        <w:pStyle w:val="Style_6"/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5. Выводы.</w:t>
      </w:r>
    </w:p>
    <w:p w14:paraId="F8000000">
      <w:pPr>
        <w:pStyle w:val="Style_6"/>
        <w:widowControl w:val="0"/>
        <w:ind w:firstLine="0" w:left="720"/>
        <w:rPr>
          <w:sz w:val="28"/>
        </w:rPr>
      </w:pPr>
    </w:p>
    <w:p w14:paraId="F9000000">
      <w:pPr>
        <w:pStyle w:val="Style_6"/>
        <w:widowControl w:val="0"/>
        <w:ind w:firstLine="567" w:left="0"/>
        <w:jc w:val="both"/>
        <w:rPr>
          <w:sz w:val="28"/>
        </w:rPr>
      </w:pPr>
      <w:r>
        <w:rPr>
          <w:sz w:val="28"/>
        </w:rPr>
        <w:t>Бюджет Крапивинского муниципального округа в 1 квартале 2025 года исполнен в соответствии с требованиями и нормами действующего бюджетного законодательства и нормативными правовыми актами Крапивинского муниципального округа.</w:t>
      </w:r>
    </w:p>
    <w:p w14:paraId="FA000000">
      <w:pPr>
        <w:pStyle w:val="Style_3"/>
        <w:widowControl w:val="0"/>
        <w:ind w:firstLine="567" w:left="0"/>
        <w:jc w:val="both"/>
        <w:rPr>
          <w:sz w:val="28"/>
        </w:rPr>
      </w:pPr>
      <w:r>
        <w:rPr>
          <w:sz w:val="28"/>
        </w:rPr>
        <w:t>Бюджет Крапивинского муниципального округа в 1 квартале 2025 года исполнен</w:t>
      </w:r>
    </w:p>
    <w:p w14:paraId="FB000000">
      <w:pPr>
        <w:pStyle w:val="Style_3"/>
        <w:widowControl w:val="0"/>
        <w:ind w:firstLine="567" w:left="0"/>
        <w:jc w:val="both"/>
        <w:rPr>
          <w:sz w:val="28"/>
        </w:rPr>
      </w:pPr>
      <w:r>
        <w:rPr>
          <w:sz w:val="28"/>
        </w:rPr>
        <w:t>- по доходам в сумме 403131,0 тыс. рублей или 26% от годового объёма утверждённых доходов, структура исполненных доходов бюджета за 1 квартал 2025 года: налоговые доходы – 13,6 %; неналоговые доходы – 2,6%; безвозмездные поступления – 83,9%;</w:t>
      </w:r>
    </w:p>
    <w:p w14:paraId="FC000000">
      <w:pPr>
        <w:pStyle w:val="Style_3"/>
        <w:widowControl w:val="0"/>
        <w:ind/>
        <w:jc w:val="both"/>
        <w:rPr>
          <w:sz w:val="28"/>
        </w:rPr>
      </w:pPr>
      <w:r>
        <w:rPr>
          <w:sz w:val="28"/>
        </w:rPr>
        <w:t xml:space="preserve">- по расходам в сумме 420456,1 тыс. руб. или 26,8% от утвержденного годового объема бюджетных назначений. </w:t>
      </w:r>
    </w:p>
    <w:p w14:paraId="FD000000">
      <w:pPr>
        <w:widowControl w:val="0"/>
        <w:ind w:firstLine="567" w:left="0"/>
        <w:jc w:val="both"/>
        <w:rPr>
          <w:sz w:val="28"/>
        </w:rPr>
      </w:pPr>
      <w:r>
        <w:rPr>
          <w:sz w:val="28"/>
        </w:rPr>
        <w:t>Бюджет Крапивинского муниципального округа за 1 квартал 2025 года исполнен с дефицитом в размере 17325,1 тыс. рублей.</w:t>
      </w:r>
    </w:p>
    <w:p w14:paraId="FE000000">
      <w:pPr>
        <w:widowControl w:val="0"/>
        <w:ind/>
        <w:jc w:val="both"/>
        <w:rPr>
          <w:sz w:val="28"/>
        </w:rPr>
      </w:pPr>
    </w:p>
    <w:p w14:paraId="FF000000">
      <w:pPr>
        <w:widowControl w:val="0"/>
        <w:ind/>
        <w:jc w:val="both"/>
        <w:rPr>
          <w:sz w:val="28"/>
        </w:rPr>
      </w:pPr>
    </w:p>
    <w:p w14:paraId="00010000">
      <w:pPr>
        <w:rPr>
          <w:sz w:val="28"/>
        </w:rPr>
      </w:pPr>
      <w:r>
        <w:rPr>
          <w:sz w:val="28"/>
        </w:rPr>
        <w:t>Председатель контрольно-счетного органа</w:t>
      </w:r>
    </w:p>
    <w:p w14:paraId="01010000">
      <w:r>
        <w:rPr>
          <w:sz w:val="28"/>
        </w:rPr>
        <w:t xml:space="preserve">Крапивинского муниципального округа                </w:t>
      </w:r>
      <w:r>
        <w:t xml:space="preserve">                     </w:t>
      </w:r>
      <w:r>
        <w:rPr>
          <w:sz w:val="28"/>
        </w:rPr>
        <w:t xml:space="preserve">   Т.Г.Горюнова</w:t>
      </w:r>
    </w:p>
    <w:sectPr>
      <w:headerReference r:id="rId2" w:type="default"/>
      <w:headerReference r:id="rId1" w:type="first"/>
      <w:pgSz w:h="16838" w:orient="portrait" w:w="11906"/>
      <w:pgMar w:bottom="1134" w:footer="708" w:gutter="0" w:header="794" w:left="1701" w:right="850" w:top="567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00000">
                          <w:pPr>
                            <w:pStyle w:val="Style_2"/>
                            <w:widowControl w:val="1"/>
                            <w:ind/>
                            <w:jc w:val="center"/>
                            <w:rPr>
                              <w:rFonts w:ascii="Times New Roman" w:hAnsi="Times New Roman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0"/>
        <w:ind w:hanging="360" w:left="720"/>
      </w:pPr>
    </w:lvl>
    <w:lvl w:ilvl="1">
      <w:start w:val="1"/>
      <w:numFmt w:val="decimal"/>
      <w:lvlText w:val="%1.%2"/>
      <w:lvlJc w:val="left"/>
      <w:pPr>
        <w:widowControl w:val="0"/>
        <w:ind w:hanging="960" w:left="1527"/>
      </w:pPr>
      <w:rPr>
        <w:b w:val="1"/>
      </w:rPr>
    </w:lvl>
    <w:lvl w:ilvl="2">
      <w:start w:val="1"/>
      <w:numFmt w:val="decimal"/>
      <w:lvlText w:val="%1.%2.%3"/>
      <w:lvlJc w:val="left"/>
      <w:pPr>
        <w:widowControl w:val="0"/>
        <w:ind w:hanging="960" w:left="1734"/>
      </w:pPr>
      <w:rPr>
        <w:b w:val="1"/>
      </w:rPr>
    </w:lvl>
    <w:lvl w:ilvl="3">
      <w:start w:val="1"/>
      <w:numFmt w:val="decimal"/>
      <w:lvlText w:val="%1.%2.%3.%4"/>
      <w:lvlJc w:val="left"/>
      <w:pPr>
        <w:widowControl w:val="0"/>
        <w:ind w:hanging="960" w:left="1941"/>
      </w:pPr>
      <w:rPr>
        <w:b w:val="1"/>
      </w:rPr>
    </w:lvl>
    <w:lvl w:ilvl="4">
      <w:start w:val="1"/>
      <w:numFmt w:val="decimal"/>
      <w:lvlText w:val="%1.%2.%3.%4.%5"/>
      <w:lvlJc w:val="left"/>
      <w:pPr>
        <w:widowControl w:val="0"/>
        <w:ind w:hanging="1080" w:left="2268"/>
      </w:pPr>
      <w:rPr>
        <w:b w:val="1"/>
      </w:rPr>
    </w:lvl>
    <w:lvl w:ilvl="5">
      <w:start w:val="1"/>
      <w:numFmt w:val="decimal"/>
      <w:lvlText w:val="%1.%2.%3.%4.%5.%6"/>
      <w:lvlJc w:val="left"/>
      <w:pPr>
        <w:widowControl w:val="0"/>
        <w:ind w:hanging="1080" w:left="2475"/>
      </w:pPr>
      <w:rPr>
        <w:b w:val="1"/>
      </w:rPr>
    </w:lvl>
    <w:lvl w:ilvl="6">
      <w:start w:val="1"/>
      <w:numFmt w:val="decimal"/>
      <w:lvlText w:val="%1.%2.%3.%4.%5.%6.%7"/>
      <w:lvlJc w:val="left"/>
      <w:pPr>
        <w:widowControl w:val="0"/>
        <w:ind w:hanging="1440" w:left="3042"/>
      </w:pPr>
      <w:rPr>
        <w:b w:val="1"/>
      </w:rPr>
    </w:lvl>
    <w:lvl w:ilvl="7">
      <w:start w:val="1"/>
      <w:numFmt w:val="decimal"/>
      <w:lvlText w:val="%1.%2.%3.%4.%5.%6.%7.%8"/>
      <w:lvlJc w:val="left"/>
      <w:pPr>
        <w:widowControl w:val="0"/>
        <w:ind w:hanging="1440" w:left="3249"/>
      </w:pPr>
      <w:rPr>
        <w:b w:val="1"/>
      </w:rPr>
    </w:lvl>
    <w:lvl w:ilvl="8">
      <w:start w:val="1"/>
      <w:numFmt w:val="decimal"/>
      <w:lvlText w:val="%1.%2.%3.%4.%5.%6.%7.%8.%9"/>
      <w:lvlJc w:val="left"/>
      <w:pPr>
        <w:widowControl w:val="0"/>
        <w:ind w:hanging="1800" w:left="3816"/>
      </w:pPr>
      <w:rPr>
        <w:b w:val="1"/>
      </w:rPr>
    </w:lvl>
  </w:abstractNum>
  <w:abstractNum w:abstractNumId="1">
    <w:lvl w:ilvl="0">
      <w:start w:val="1"/>
      <w:numFmt w:val="bullet"/>
      <w:lvlText w:val=""/>
      <w:lvlJc w:val="left"/>
      <w:pPr>
        <w:widowControl w:val="0"/>
        <w:tabs>
          <w:tab w:leader="none" w:pos="780" w:val="left"/>
        </w:tabs>
        <w:ind w:hanging="360" w:left="7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0"/>
        <w:tabs>
          <w:tab w:leader="none" w:pos="1500" w:val="left"/>
        </w:tabs>
        <w:ind w:hanging="360" w:left="15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0"/>
        <w:tabs>
          <w:tab w:leader="none" w:pos="2220" w:val="left"/>
        </w:tabs>
        <w:ind w:hanging="360" w:left="22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0"/>
        <w:tabs>
          <w:tab w:leader="none" w:pos="2940" w:val="left"/>
        </w:tabs>
        <w:ind w:hanging="360" w:left="29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0"/>
        <w:tabs>
          <w:tab w:leader="none" w:pos="3660" w:val="left"/>
        </w:tabs>
        <w:ind w:hanging="360" w:left="36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0"/>
        <w:tabs>
          <w:tab w:leader="none" w:pos="4380" w:val="left"/>
        </w:tabs>
        <w:ind w:hanging="360" w:left="43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0"/>
        <w:tabs>
          <w:tab w:leader="none" w:pos="5100" w:val="left"/>
        </w:tabs>
        <w:ind w:hanging="360" w:left="51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0"/>
        <w:tabs>
          <w:tab w:leader="none" w:pos="5820" w:val="left"/>
        </w:tabs>
        <w:ind w:hanging="360" w:left="58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0"/>
        <w:tabs>
          <w:tab w:leader="none" w:pos="6540" w:val="left"/>
        </w:tabs>
        <w:ind w:hanging="360" w:left="654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widowControl w:val="0"/>
        <w:tabs>
          <w:tab w:leader="none" w:pos="780" w:val="left"/>
        </w:tabs>
        <w:ind w:hanging="360" w:left="78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widowControl w:val="0"/>
        <w:tabs>
          <w:tab w:leader="none" w:pos="2007" w:val="left"/>
        </w:tabs>
        <w:ind w:hanging="360" w:left="2007"/>
      </w:pPr>
    </w:lvl>
    <w:lvl w:ilvl="2">
      <w:start w:val="1"/>
      <w:numFmt w:val="lowerRoman"/>
      <w:lvlText w:val="%3."/>
      <w:lvlJc w:val="right"/>
      <w:pPr>
        <w:widowControl w:val="0"/>
        <w:tabs>
          <w:tab w:leader="none" w:pos="2727" w:val="left"/>
        </w:tabs>
        <w:ind w:hanging="180" w:left="2727"/>
      </w:pPr>
    </w:lvl>
    <w:lvl w:ilvl="3">
      <w:start w:val="1"/>
      <w:numFmt w:val="decimal"/>
      <w:lvlText w:val="%4."/>
      <w:lvlJc w:val="left"/>
      <w:pPr>
        <w:widowControl w:val="0"/>
        <w:tabs>
          <w:tab w:leader="none" w:pos="3447" w:val="left"/>
        </w:tabs>
        <w:ind w:hanging="360" w:left="3447"/>
      </w:pPr>
    </w:lvl>
    <w:lvl w:ilvl="4">
      <w:start w:val="1"/>
      <w:numFmt w:val="lowerLetter"/>
      <w:lvlText w:val="%5."/>
      <w:lvlJc w:val="left"/>
      <w:pPr>
        <w:widowControl w:val="0"/>
        <w:tabs>
          <w:tab w:leader="none" w:pos="4167" w:val="left"/>
        </w:tabs>
        <w:ind w:hanging="360" w:left="4167"/>
      </w:pPr>
    </w:lvl>
    <w:lvl w:ilvl="5">
      <w:start w:val="1"/>
      <w:numFmt w:val="lowerRoman"/>
      <w:lvlText w:val="%6."/>
      <w:lvlJc w:val="right"/>
      <w:pPr>
        <w:widowControl w:val="0"/>
        <w:tabs>
          <w:tab w:leader="none" w:pos="4887" w:val="left"/>
        </w:tabs>
        <w:ind w:hanging="180" w:left="4887"/>
      </w:pPr>
    </w:lvl>
    <w:lvl w:ilvl="6">
      <w:start w:val="1"/>
      <w:numFmt w:val="decimal"/>
      <w:lvlText w:val="%7."/>
      <w:lvlJc w:val="left"/>
      <w:pPr>
        <w:widowControl w:val="0"/>
        <w:tabs>
          <w:tab w:leader="none" w:pos="5607" w:val="left"/>
        </w:tabs>
        <w:ind w:hanging="360" w:left="5607"/>
      </w:pPr>
    </w:lvl>
    <w:lvl w:ilvl="7">
      <w:start w:val="1"/>
      <w:numFmt w:val="lowerLetter"/>
      <w:lvlText w:val="%8."/>
      <w:lvlJc w:val="left"/>
      <w:pPr>
        <w:widowControl w:val="0"/>
        <w:tabs>
          <w:tab w:leader="none" w:pos="6327" w:val="left"/>
        </w:tabs>
        <w:ind w:hanging="360" w:left="6327"/>
      </w:pPr>
    </w:lvl>
    <w:lvl w:ilvl="8">
      <w:start w:val="1"/>
      <w:numFmt w:val="lowerRoman"/>
      <w:lvlText w:val="%9."/>
      <w:lvlJc w:val="right"/>
      <w:pPr>
        <w:widowControl w:val="0"/>
        <w:tabs>
          <w:tab w:leader="none" w:pos="7047" w:val="left"/>
        </w:tabs>
        <w:ind w:hanging="180" w:left="7047"/>
      </w:pPr>
    </w:lvl>
  </w:abstractNum>
  <w:abstractNum w:abstractNumId="3">
    <w:lvl w:ilvl="0">
      <w:numFmt w:val="bullet"/>
      <w:lvlText w:val="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widowControl w:val="0"/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0"/>
        <w:tabs>
          <w:tab w:leader="none" w:pos="2007" w:val="left"/>
        </w:tabs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0"/>
        <w:tabs>
          <w:tab w:leader="none" w:pos="2727" w:val="left"/>
        </w:tabs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0"/>
        <w:tabs>
          <w:tab w:leader="none" w:pos="3447" w:val="left"/>
        </w:tabs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0"/>
        <w:tabs>
          <w:tab w:leader="none" w:pos="4167" w:val="left"/>
        </w:tabs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0"/>
        <w:tabs>
          <w:tab w:leader="none" w:pos="4887" w:val="left"/>
        </w:tabs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0"/>
        <w:tabs>
          <w:tab w:leader="none" w:pos="5607" w:val="left"/>
        </w:tabs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0"/>
        <w:tabs>
          <w:tab w:leader="none" w:pos="6327" w:val="left"/>
        </w:tabs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0"/>
        <w:tabs>
          <w:tab w:leader="none" w:pos="7047" w:val="left"/>
        </w:tabs>
        <w:ind w:hanging="360" w:left="7047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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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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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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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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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1"/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"/>
      <w:pPr>
        <w:widowControl w:val="1"/>
        <w:ind w:hanging="360" w:left="720"/>
      </w:pPr>
      <w:rPr>
        <w:rFonts w:ascii="Symbol" w:hAnsi="Symbol"/>
      </w:rPr>
    </w:lvl>
    <w:lvl w:ilvl="1">
      <w:numFmt w:val="bullet"/>
      <w:lvlText w:val="o"/>
      <w:pPr>
        <w:widowControl w:val="1"/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widowControl w:val="1"/>
        <w:ind w:hanging="360" w:left="2160"/>
      </w:pPr>
      <w:rPr>
        <w:rFonts w:ascii="Wingdings" w:hAnsi="Wingdings"/>
      </w:rPr>
    </w:lvl>
    <w:lvl w:ilvl="3">
      <w:numFmt w:val="bullet"/>
      <w:lvlText w:val=""/>
      <w:pPr>
        <w:widowControl w:val="1"/>
        <w:ind w:hanging="360" w:left="2880"/>
      </w:pPr>
      <w:rPr>
        <w:rFonts w:ascii="Symbol" w:hAnsi="Symbol"/>
      </w:rPr>
    </w:lvl>
    <w:lvl w:ilvl="4">
      <w:numFmt w:val="bullet"/>
      <w:lvlText w:val="o"/>
      <w:pPr>
        <w:widowControl w:val="1"/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widowControl w:val="1"/>
        <w:ind w:hanging="360" w:left="4320"/>
      </w:pPr>
      <w:rPr>
        <w:rFonts w:ascii="Wingdings" w:hAnsi="Wingdings"/>
      </w:rPr>
    </w:lvl>
    <w:lvl w:ilvl="6">
      <w:numFmt w:val="bullet"/>
      <w:lvlText w:val=""/>
      <w:pPr>
        <w:widowControl w:val="1"/>
        <w:ind w:hanging="360" w:left="5040"/>
      </w:pPr>
      <w:rPr>
        <w:rFonts w:ascii="Symbol" w:hAnsi="Symbol"/>
      </w:rPr>
    </w:lvl>
    <w:lvl w:ilvl="7">
      <w:numFmt w:val="bullet"/>
      <w:lvlText w:val="o"/>
      <w:pPr>
        <w:widowControl w:val="1"/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color w:val="000000"/>
      <w:sz w:val="24"/>
    </w:rPr>
  </w:style>
  <w:style w:default="1" w:styleId="Style_2_ch" w:type="character">
    <w:name w:val="Normal"/>
    <w:link w:val="Style_2"/>
    <w:rPr>
      <w:color w:val="000000"/>
      <w:sz w:val="24"/>
    </w:rPr>
  </w:style>
  <w:style w:styleId="Style_7" w:type="paragraph">
    <w:name w:val="Balloon Text"/>
    <w:basedOn w:val="Style_2"/>
    <w:link w:val="Style_7_ch"/>
    <w:rPr>
      <w:rFonts w:ascii="Tahoma" w:hAnsi="Tahoma"/>
      <w:sz w:val="16"/>
    </w:rPr>
  </w:style>
  <w:style w:styleId="Style_7_ch" w:type="character">
    <w:name w:val="Balloon Text"/>
    <w:basedOn w:val="Style_2_ch"/>
    <w:link w:val="Style_7"/>
    <w:rPr>
      <w:rFonts w:ascii="Tahoma" w:hAnsi="Tahoma"/>
      <w:sz w:val="16"/>
    </w:rPr>
  </w:style>
  <w:style w:styleId="Style_8" w:type="paragraph">
    <w:name w:val="toc 2"/>
    <w:next w:val="Style_2"/>
    <w:link w:val="Style_8_ch"/>
    <w:uiPriority w:val="39"/>
    <w:pPr>
      <w:widowControl w:val="0"/>
      <w:ind w:firstLine="0" w:left="200"/>
    </w:pPr>
    <w:rPr>
      <w:rFonts w:ascii="XO Thames" w:hAnsi="XO Thames"/>
      <w:color w:val="000000"/>
      <w:sz w:val="28"/>
    </w:rPr>
  </w:style>
  <w:style w:styleId="Style_8_ch" w:type="character">
    <w:name w:val="toc 2"/>
    <w:link w:val="Style_8"/>
    <w:rPr>
      <w:rFonts w:ascii="XO Thames" w:hAnsi="XO Thames"/>
      <w:color w:val="000000"/>
      <w:sz w:val="28"/>
    </w:rPr>
  </w:style>
  <w:style w:styleId="Style_9" w:type="paragraph">
    <w:name w:val="toc 4"/>
    <w:next w:val="Style_2"/>
    <w:link w:val="Style_9_ch"/>
    <w:uiPriority w:val="39"/>
    <w:pPr>
      <w:widowControl w:val="0"/>
      <w:ind w:firstLine="0" w:left="600"/>
    </w:pPr>
    <w:rPr>
      <w:rFonts w:ascii="XO Thames" w:hAnsi="XO Thames"/>
      <w:color w:val="000000"/>
      <w:sz w:val="28"/>
    </w:rPr>
  </w:style>
  <w:style w:styleId="Style_9_ch" w:type="character">
    <w:name w:val="toc 4"/>
    <w:link w:val="Style_9"/>
    <w:rPr>
      <w:rFonts w:ascii="XO Thames" w:hAnsi="XO Thames"/>
      <w:color w:val="000000"/>
      <w:sz w:val="28"/>
    </w:rPr>
  </w:style>
  <w:style w:styleId="Style_10" w:type="paragraph">
    <w:name w:val="toc 6"/>
    <w:next w:val="Style_2"/>
    <w:link w:val="Style_10_ch"/>
    <w:uiPriority w:val="39"/>
    <w:pPr>
      <w:widowControl w:val="0"/>
      <w:ind w:firstLine="0" w:left="1000"/>
    </w:pPr>
    <w:rPr>
      <w:rFonts w:ascii="XO Thames" w:hAnsi="XO Thames"/>
      <w:color w:val="00000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z w:val="28"/>
    </w:rPr>
  </w:style>
  <w:style w:styleId="Style_5" w:type="paragraph">
    <w:name w:val="Body Text"/>
    <w:basedOn w:val="Style_2"/>
    <w:link w:val="Style_5_ch"/>
    <w:pPr>
      <w:widowControl w:val="0"/>
      <w:spacing w:after="120"/>
      <w:ind/>
    </w:pPr>
  </w:style>
  <w:style w:styleId="Style_5_ch" w:type="character">
    <w:name w:val="Body Text"/>
    <w:basedOn w:val="Style_2_ch"/>
    <w:link w:val="Style_5"/>
  </w:style>
  <w:style w:styleId="Style_11" w:type="paragraph">
    <w:name w:val="toc 7"/>
    <w:next w:val="Style_2"/>
    <w:link w:val="Style_11_ch"/>
    <w:uiPriority w:val="39"/>
    <w:pPr>
      <w:widowControl w:val="0"/>
      <w:ind w:firstLine="0" w:left="1200"/>
    </w:pPr>
    <w:rPr>
      <w:rFonts w:ascii="XO Thames" w:hAnsi="XO Thames"/>
      <w:color w:val="00000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z w:val="28"/>
    </w:rPr>
  </w:style>
  <w:style w:styleId="Style_12" w:type="paragraph">
    <w:name w:val="End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2"/>
    <w:link w:val="Style_13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z w:val="26"/>
    </w:rPr>
  </w:style>
  <w:style w:styleId="Style_14" w:type="paragraph">
    <w:name w:val="toc 3"/>
    <w:next w:val="Style_2"/>
    <w:link w:val="Style_14_ch"/>
    <w:uiPriority w:val="39"/>
    <w:pPr>
      <w:widowControl w:val="0"/>
      <w:ind w:firstLine="0" w:left="400"/>
    </w:pPr>
    <w:rPr>
      <w:rFonts w:ascii="XO Thames" w:hAnsi="XO Thames"/>
      <w:color w:val="000000"/>
      <w:sz w:val="28"/>
    </w:rPr>
  </w:style>
  <w:style w:styleId="Style_14_ch" w:type="character">
    <w:name w:val="toc 3"/>
    <w:link w:val="Style_14"/>
    <w:rPr>
      <w:rFonts w:ascii="XO Thames" w:hAnsi="XO Thames"/>
      <w:color w:val="000000"/>
      <w:sz w:val="28"/>
    </w:rPr>
  </w:style>
  <w:style w:styleId="Style_15" w:type="paragraph">
    <w:name w:val="Основной шрифт абзаца1"/>
    <w:link w:val="Style_15_ch"/>
    <w:rPr>
      <w:color w:val="000000"/>
    </w:rPr>
  </w:style>
  <w:style w:styleId="Style_15_ch" w:type="character">
    <w:name w:val="Основной шрифт абзаца1"/>
    <w:link w:val="Style_15"/>
    <w:rPr>
      <w:color w:val="000000"/>
    </w:rPr>
  </w:style>
  <w:style w:styleId="Style_16" w:type="paragraph">
    <w:name w:val="Оглавление 8 Знак"/>
    <w:link w:val="Style_16_ch"/>
    <w:rPr>
      <w:rFonts w:ascii="XO Thames" w:hAnsi="XO Thames"/>
      <w:sz w:val="28"/>
    </w:rPr>
  </w:style>
  <w:style w:styleId="Style_16_ch" w:type="character">
    <w:name w:val="Оглавление 8 Знак"/>
    <w:link w:val="Style_16"/>
    <w:rPr>
      <w:rFonts w:ascii="XO Thames" w:hAnsi="XO Thames"/>
      <w:sz w:val="28"/>
    </w:rPr>
  </w:style>
  <w:style w:styleId="Style_17" w:type="paragraph">
    <w:name w:val="heading 5"/>
    <w:next w:val="Style_2"/>
    <w:link w:val="Style_17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17_ch" w:type="character">
    <w:name w:val="heading 5"/>
    <w:link w:val="Style_17"/>
    <w:rPr>
      <w:rFonts w:ascii="XO Thames" w:hAnsi="XO Thames"/>
      <w:b w:val="1"/>
      <w:color w:val="000000"/>
      <w:sz w:val="22"/>
    </w:rPr>
  </w:style>
  <w:style w:styleId="Style_18" w:type="paragraph">
    <w:name w:val="header"/>
    <w:basedOn w:val="Style_2"/>
    <w:link w:val="Style_18_ch"/>
    <w:pPr>
      <w:widowControl w:val="0"/>
      <w:tabs>
        <w:tab w:leader="none" w:pos="4677" w:val="center"/>
        <w:tab w:leader="none" w:pos="9355" w:val="right"/>
      </w:tabs>
      <w:ind/>
    </w:pPr>
  </w:style>
  <w:style w:styleId="Style_18_ch" w:type="character">
    <w:name w:val="header"/>
    <w:basedOn w:val="Style_2_ch"/>
    <w:link w:val="Style_18"/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widowControl w:val="0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9_ch" w:type="character">
    <w:name w:val="heading 1"/>
    <w:basedOn w:val="Style_2_ch"/>
    <w:link w:val="Style_19"/>
    <w:rPr>
      <w:rFonts w:ascii="Cambria" w:hAnsi="Cambria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widowControl w:val="0"/>
      <w:ind w:firstLine="851" w:left="0"/>
      <w:jc w:val="both"/>
    </w:pPr>
    <w:rPr>
      <w:rFonts w:ascii="XO Thames" w:hAnsi="XO Thames"/>
      <w:color w:val="000000"/>
      <w:sz w:val="22"/>
    </w:rPr>
  </w:style>
  <w:style w:styleId="Style_21_ch" w:type="character">
    <w:name w:val="Footnote"/>
    <w:link w:val="Style_21"/>
    <w:rPr>
      <w:rFonts w:ascii="XO Thames" w:hAnsi="XO Thames"/>
      <w:color w:val="000000"/>
      <w:sz w:val="22"/>
    </w:rPr>
  </w:style>
  <w:style w:styleId="Style_22" w:type="paragraph">
    <w:name w:val="Document Map"/>
    <w:basedOn w:val="Style_2"/>
    <w:link w:val="Style_22_ch"/>
    <w:rPr>
      <w:rFonts w:ascii="Tahoma" w:hAnsi="Tahoma"/>
      <w:sz w:val="16"/>
    </w:rPr>
  </w:style>
  <w:style w:styleId="Style_22_ch" w:type="character">
    <w:name w:val="Document Map"/>
    <w:basedOn w:val="Style_2_ch"/>
    <w:link w:val="Style_22"/>
    <w:rPr>
      <w:rFonts w:ascii="Tahoma" w:hAnsi="Tahoma"/>
      <w:sz w:val="16"/>
    </w:rPr>
  </w:style>
  <w:style w:styleId="Style_23" w:type="paragraph">
    <w:name w:val="toc 1"/>
    <w:next w:val="Style_2"/>
    <w:link w:val="Style_23_ch"/>
    <w:uiPriority w:val="39"/>
    <w:rPr>
      <w:rFonts w:ascii="XO Thames" w:hAnsi="XO Thames"/>
      <w:b w:val="1"/>
      <w:color w:val="000000"/>
      <w:sz w:val="28"/>
    </w:rPr>
  </w:style>
  <w:style w:styleId="Style_23_ch" w:type="character">
    <w:name w:val="toc 1"/>
    <w:link w:val="Style_23"/>
    <w:rPr>
      <w:rFonts w:ascii="XO Thames" w:hAnsi="XO Thames"/>
      <w:b w:val="1"/>
      <w:color w:val="000000"/>
      <w:sz w:val="28"/>
    </w:rPr>
  </w:style>
  <w:style w:styleId="Style_24" w:type="paragraph">
    <w:name w:val="Body Text 3"/>
    <w:basedOn w:val="Style_2"/>
    <w:link w:val="Style_24_ch"/>
    <w:pPr>
      <w:widowControl w:val="0"/>
      <w:ind/>
      <w:jc w:val="both"/>
    </w:pPr>
    <w:rPr>
      <w:spacing w:val="20"/>
      <w:sz w:val="28"/>
    </w:rPr>
  </w:style>
  <w:style w:styleId="Style_24_ch" w:type="character">
    <w:name w:val="Body Text 3"/>
    <w:basedOn w:val="Style_2_ch"/>
    <w:link w:val="Style_24"/>
    <w:rPr>
      <w:spacing w:val="20"/>
      <w:sz w:val="28"/>
    </w:rPr>
  </w:style>
  <w:style w:styleId="Style_1" w:type="paragraph">
    <w:name w:val="Header and Footer"/>
    <w:link w:val="Style_1_ch"/>
    <w:pPr>
      <w:widowControl w:val="0"/>
      <w:ind/>
      <w:jc w:val="both"/>
    </w:pPr>
    <w:rPr>
      <w:rFonts w:ascii="XO Thames" w:hAnsi="XO Thames"/>
      <w:color w:val="000000"/>
    </w:rPr>
  </w:style>
  <w:style w:styleId="Style_1_ch" w:type="character">
    <w:name w:val="Header and Footer"/>
    <w:link w:val="Style_1"/>
    <w:rPr>
      <w:rFonts w:ascii="XO Thames" w:hAnsi="XO Thames"/>
      <w:color w:val="000000"/>
    </w:rPr>
  </w:style>
  <w:style w:styleId="Style_6" w:type="paragraph">
    <w:name w:val="stylet4"/>
    <w:basedOn w:val="Style_2"/>
    <w:link w:val="Style_6_ch"/>
    <w:pPr>
      <w:widowControl w:val="0"/>
      <w:spacing w:afterAutospacing="on" w:beforeAutospacing="on"/>
      <w:ind/>
    </w:pPr>
  </w:style>
  <w:style w:styleId="Style_6_ch" w:type="character">
    <w:name w:val="stylet4"/>
    <w:basedOn w:val="Style_2_ch"/>
    <w:link w:val="Style_6"/>
  </w:style>
  <w:style w:styleId="Style_25" w:type="paragraph">
    <w:name w:val="toc 9"/>
    <w:next w:val="Style_2"/>
    <w:link w:val="Style_25_ch"/>
    <w:uiPriority w:val="39"/>
    <w:pPr>
      <w:widowControl w:val="0"/>
      <w:ind w:firstLine="0" w:left="1600"/>
    </w:pPr>
    <w:rPr>
      <w:rFonts w:ascii="XO Thames" w:hAnsi="XO Thames"/>
      <w:color w:val="000000"/>
      <w:sz w:val="28"/>
    </w:rPr>
  </w:style>
  <w:style w:styleId="Style_25_ch" w:type="character">
    <w:name w:val="toc 9"/>
    <w:link w:val="Style_25"/>
    <w:rPr>
      <w:rFonts w:ascii="XO Thames" w:hAnsi="XO Thames"/>
      <w:color w:val="000000"/>
      <w:sz w:val="28"/>
    </w:rPr>
  </w:style>
  <w:style w:styleId="Style_26" w:type="paragraph">
    <w:name w:val="footer"/>
    <w:basedOn w:val="Style_2"/>
    <w:link w:val="Style_26_ch"/>
    <w:pPr>
      <w:widowControl w:val="0"/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2_ch"/>
    <w:link w:val="Style_26"/>
  </w:style>
  <w:style w:styleId="Style_27" w:type="paragraph">
    <w:name w:val="toc 8"/>
    <w:next w:val="Style_2"/>
    <w:link w:val="Style_27_ch"/>
    <w:uiPriority w:val="39"/>
    <w:pPr>
      <w:widowControl w:val="0"/>
      <w:ind w:firstLine="0" w:left="1400"/>
    </w:pPr>
    <w:rPr>
      <w:rFonts w:ascii="XO Thames" w:hAnsi="XO Thames"/>
      <w:color w:val="000000"/>
      <w:sz w:val="28"/>
    </w:rPr>
  </w:style>
  <w:style w:styleId="Style_27_ch" w:type="character">
    <w:name w:val="toc 8"/>
    <w:link w:val="Style_27"/>
    <w:rPr>
      <w:rFonts w:ascii="XO Thames" w:hAnsi="XO Thames"/>
      <w:color w:val="000000"/>
      <w:sz w:val="28"/>
    </w:rPr>
  </w:style>
  <w:style w:styleId="Style_28" w:type="paragraph">
    <w:name w:val="toc 5"/>
    <w:next w:val="Style_2"/>
    <w:link w:val="Style_28_ch"/>
    <w:uiPriority w:val="39"/>
    <w:pPr>
      <w:widowControl w:val="0"/>
      <w:ind w:firstLine="0" w:left="800"/>
    </w:pPr>
    <w:rPr>
      <w:rFonts w:ascii="XO Thames" w:hAnsi="XO Thames"/>
      <w:color w:val="000000"/>
      <w:sz w:val="28"/>
    </w:rPr>
  </w:style>
  <w:style w:styleId="Style_28_ch" w:type="character">
    <w:name w:val="toc 5"/>
    <w:link w:val="Style_28"/>
    <w:rPr>
      <w:rFonts w:ascii="XO Thames" w:hAnsi="XO Thames"/>
      <w:color w:val="000000"/>
      <w:sz w:val="28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List Paragraph"/>
    <w:basedOn w:val="Style_2"/>
    <w:link w:val="Style_30_ch"/>
    <w:pPr>
      <w:widowControl w:val="0"/>
      <w:ind w:firstLine="0" w:left="708"/>
    </w:pPr>
  </w:style>
  <w:style w:styleId="Style_30_ch" w:type="character">
    <w:name w:val="List Paragraph"/>
    <w:basedOn w:val="Style_2_ch"/>
    <w:link w:val="Style_30"/>
  </w:style>
  <w:style w:styleId="Style_31" w:type="paragraph">
    <w:name w:val="Subtitle"/>
    <w:next w:val="Style_2"/>
    <w:link w:val="Style_31_ch"/>
    <w:uiPriority w:val="11"/>
    <w:qFormat/>
    <w:pPr>
      <w:widowControl w:val="0"/>
      <w:ind/>
      <w:jc w:val="both"/>
    </w:pPr>
    <w:rPr>
      <w:rFonts w:ascii="XO Thames" w:hAnsi="XO Thames"/>
      <w:i w:val="1"/>
      <w:color w:val="000000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000000"/>
      <w:sz w:val="24"/>
    </w:rPr>
  </w:style>
  <w:style w:styleId="Style_32" w:type="paragraph">
    <w:name w:val="No Spacing"/>
    <w:link w:val="Style_32_ch"/>
    <w:rPr>
      <w:rFonts w:ascii="Calibri" w:hAnsi="Calibri"/>
      <w:color w:val="000000"/>
      <w:sz w:val="22"/>
    </w:rPr>
  </w:style>
  <w:style w:styleId="Style_32_ch" w:type="character">
    <w:name w:val="No Spacing"/>
    <w:link w:val="Style_32"/>
    <w:rPr>
      <w:rFonts w:ascii="Calibri" w:hAnsi="Calibri"/>
      <w:color w:val="000000"/>
      <w:sz w:val="22"/>
    </w:rPr>
  </w:style>
  <w:style w:styleId="Style_33" w:type="paragraph">
    <w:name w:val="Title"/>
    <w:next w:val="Style_2"/>
    <w:link w:val="Style_33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color w:val="000000"/>
      <w:sz w:val="40"/>
    </w:rPr>
  </w:style>
  <w:style w:styleId="Style_34" w:type="paragraph">
    <w:name w:val="heading 4"/>
    <w:next w:val="Style_2"/>
    <w:link w:val="Style_34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34_ch" w:type="character">
    <w:name w:val="heading 4"/>
    <w:link w:val="Style_34"/>
    <w:rPr>
      <w:rFonts w:ascii="XO Thames" w:hAnsi="XO Thames"/>
      <w:b w:val="1"/>
      <w:color w:val="000000"/>
      <w:sz w:val="24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" w:type="paragraph">
    <w:name w:val="stylet1"/>
    <w:basedOn w:val="Style_2"/>
    <w:link w:val="Style_3_ch"/>
    <w:pPr>
      <w:widowControl w:val="0"/>
      <w:spacing w:afterAutospacing="on" w:beforeAutospacing="on"/>
      <w:ind/>
    </w:pPr>
  </w:style>
  <w:style w:styleId="Style_3_ch" w:type="character">
    <w:name w:val="stylet1"/>
    <w:basedOn w:val="Style_2_ch"/>
    <w:link w:val="Style_3"/>
  </w:style>
  <w:style w:styleId="Style_36" w:type="paragraph">
    <w:name w:val="heading 2"/>
    <w:next w:val="Style_2"/>
    <w:link w:val="Style_36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36_ch" w:type="character">
    <w:name w:val="heading 2"/>
    <w:link w:val="Style_36"/>
    <w:rPr>
      <w:rFonts w:ascii="XO Thames" w:hAnsi="XO Thames"/>
      <w:b w:val="1"/>
      <w:color w:val="000000"/>
      <w:sz w:val="28"/>
    </w:rPr>
  </w:style>
  <w:style w:styleId="Style_37" w:type="paragraph">
    <w:name w:val="Обычный1"/>
    <w:link w:val="Style_37_ch"/>
    <w:rPr>
      <w:sz w:val="24"/>
    </w:rPr>
  </w:style>
  <w:style w:styleId="Style_37_ch" w:type="character">
    <w:name w:val="Обычный1"/>
    <w:link w:val="Style_37"/>
    <w:rPr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2024-04-22T08:37:55Z</dcterms:created>
  <dcterms:modified xsi:type="dcterms:W3CDTF">2025-04-25T03:19:51Z</dcterms:modified>
</cp:coreProperties>
</file>