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1000000">
      <w:pPr>
        <w:pStyle w:val="Style_1"/>
        <w:widowControl w:val="1"/>
        <w:ind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2938145</wp:posOffset>
                </wp:positionH>
                <wp:positionV relativeFrom="paragraph">
                  <wp:posOffset>-495935</wp:posOffset>
                </wp:positionV>
                <wp:extent cx="828675" cy="4953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82867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2000000">
      <w:pPr>
        <w:pStyle w:val="Style_2"/>
        <w:widowControl w:val="1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Приложение</w:t>
      </w:r>
    </w:p>
    <w:p w14:paraId="13000000">
      <w:pPr>
        <w:pStyle w:val="Style_2"/>
        <w:widowControl w:val="1"/>
        <w:ind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ю администрации</w:t>
      </w:r>
    </w:p>
    <w:p w14:paraId="14000000">
      <w:pPr>
        <w:pStyle w:val="Style_2"/>
        <w:widowControl w:val="1"/>
        <w:ind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Крапивинского</w:t>
      </w:r>
      <w:r>
        <w:rPr>
          <w:rFonts w:ascii="Times New Roman" w:hAnsi="Times New Roman"/>
          <w:sz w:val="28"/>
        </w:rPr>
        <w:t xml:space="preserve"> муниципального</w:t>
      </w:r>
    </w:p>
    <w:p w14:paraId="15000000">
      <w:pPr>
        <w:pStyle w:val="Style_2"/>
        <w:widowControl w:val="1"/>
        <w:tabs>
          <w:tab w:leader="none" w:pos="8355" w:val="left"/>
        </w:tabs>
        <w:ind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>№</w:t>
      </w:r>
    </w:p>
    <w:p w14:paraId="16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17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widowControl w:val="1"/>
        <w:ind/>
        <w:jc w:val="center"/>
        <w:rPr>
          <w:rFonts w:ascii="Times New Roman" w:hAnsi="Times New Roman"/>
          <w:sz w:val="28"/>
        </w:rPr>
      </w:pPr>
      <w:bookmarkStart w:id="1" w:name="P29"/>
      <w:bookmarkEnd w:id="1"/>
      <w:r>
        <w:rPr>
          <w:rFonts w:ascii="Times New Roman" w:hAnsi="Times New Roman"/>
          <w:sz w:val="28"/>
        </w:rPr>
        <w:t>ПОЛОЖЕНИЕ</w:t>
      </w:r>
    </w:p>
    <w:p w14:paraId="19000000">
      <w:pPr>
        <w:pStyle w:val="Style_3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 формировании перечня налоговых расходов</w:t>
      </w:r>
    </w:p>
    <w:p w14:paraId="1A000000">
      <w:pPr>
        <w:pStyle w:val="Style_3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Крапивинского муниципального округа и оценке налоговых расходов Крапивинского муниципального округа</w:t>
      </w:r>
    </w:p>
    <w:p w14:paraId="1B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widowControl w:val="1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Общие положения</w:t>
      </w:r>
    </w:p>
    <w:p w14:paraId="1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1E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 xml:space="preserve">Настоящее Положение о формировании перечня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и оценке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(далее - Положение) разработано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"https://login.consultant.ru/link/?req=doc&amp;base=LAW&amp;n=434216&amp;dst=100025"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(далее - Общие требования), а также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"https://login.consultant.ru/link/?req=doc&amp;base=RLAW284&amp;n=129305"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Кемеровской области - Кузбасса от 30.12.2019 N 773 "Об утверждении</w:t>
      </w:r>
      <w:r>
        <w:rPr>
          <w:rFonts w:ascii="Times New Roman" w:hAnsi="Times New Roman"/>
          <w:sz w:val="28"/>
        </w:rPr>
        <w:t xml:space="preserve"> Положения о формировании перечня налоговых расходов Кемеровской области - Кузбасса и оценке налоговых расходов Кемеровской области - Кузбасса" и определяет порядок формирования перечня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и порядок оценки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1F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>В настоящем Положении используются понятия, установленные Общими требованиями к оценке налоговых расходов субъектов Российской Федерации и муниципальных образований, а также следующие понятия:</w:t>
      </w:r>
    </w:p>
    <w:p w14:paraId="20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"нераспределенные налоговые расходы" - налоговые расходы Крапивинского муниципального округа, цели которых соответствуют целям нескольких муниципальных программ Крапивинского муниципального округа;</w:t>
      </w:r>
    </w:p>
    <w:p w14:paraId="21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"непрограммные налоговые расходы" - налоговые расходы Крапивинского муниципального округа, цели которых соответствуют целям социально-</w:t>
      </w:r>
    </w:p>
    <w:p w14:paraId="22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экономической политики Крапивинского муниципального округа, не относящимся к муниципальным программам Крапивинского муниципального округа;</w:t>
      </w:r>
    </w:p>
    <w:p w14:paraId="23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«программные налоговые расходы" - налоговые расходы Крапивинского муниципального округа, цели которых соответствуют целям  одной муниципальной программы Крапивинского муниципального округа.</w:t>
      </w:r>
    </w:p>
    <w:p w14:paraId="24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>
        <w:rPr>
          <w:rFonts w:ascii="Times New Roman" w:hAnsi="Times New Roman"/>
          <w:sz w:val="28"/>
        </w:rPr>
        <w:t xml:space="preserve">Куратором налоговых расходов является администрация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, ответственная в соответствии с полномочиями, установленными нормативными правовыми актами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, за достижение соответствующих налоговым расходам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целей муниципальных программ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и (или) целей социально-экономической политики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, не относящихся к муниципальным программам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25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Функции куратора налоговых расходов осуществляют ответственные за разработку муниципальных программ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26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Уполномоченным структурным подразделением администрации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, ответственным за формирование перечня налоговых расходов, а также за обобщение результатов оценки налоговых расходов, является финансовое управление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(далее - уполномоченный орган).</w:t>
      </w:r>
    </w:p>
    <w:p w14:paraId="27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 Результаты оценки налоговых расходов учитываются при формировании основных направлений бюджетной и налоговой политики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на очередной финансовый год и на плановый период, а также при проведении </w:t>
      </w:r>
      <w:r>
        <w:rPr>
          <w:rFonts w:ascii="Times New Roman" w:hAnsi="Times New Roman"/>
          <w:sz w:val="28"/>
        </w:rPr>
        <w:t xml:space="preserve">оценки эффективности реализации муниципальных программ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28000000">
      <w:pPr>
        <w:pStyle w:val="Style_2"/>
        <w:widowControl w:val="1"/>
        <w:ind/>
        <w:jc w:val="both"/>
      </w:pPr>
    </w:p>
    <w:p w14:paraId="29000000">
      <w:pPr>
        <w:pStyle w:val="Style_3"/>
        <w:widowControl w:val="1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Порядок формирования перечня налоговых расходов</w:t>
      </w:r>
    </w:p>
    <w:p w14:paraId="2A000000">
      <w:pPr>
        <w:pStyle w:val="Style_3"/>
        <w:widowControl w:val="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Крапивинского муниципального округа</w:t>
      </w:r>
    </w:p>
    <w:p w14:paraId="2B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C000000">
      <w:pPr>
        <w:pStyle w:val="Style_2"/>
        <w:widowControl w:val="1"/>
        <w:tabs>
          <w:tab w:leader="none" w:pos="1134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Перечень налоговых расходов Крапивинского муниципального округа формируется на очередной финансовый год, первый и второй годы планового периода.</w:t>
      </w:r>
    </w:p>
    <w:p w14:paraId="2D000000">
      <w:pPr>
        <w:pStyle w:val="Style_2"/>
        <w:widowControl w:val="1"/>
        <w:tabs>
          <w:tab w:leader="none" w:pos="1134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Отнесение налоговых расходов Крапивинского муниципального округа к муниципальным программам Крапивинского муниципального округа осуществляется исходя из целей муниципальных программ Крапивинского муниципального округа, и (или) целей социально-экономической политики  Крапивинского муниципального округа, не относящихся к муниципальным программам Крапивинского муниципального округа.</w:t>
      </w:r>
    </w:p>
    <w:p w14:paraId="2E000000">
      <w:pPr>
        <w:pStyle w:val="Style_2"/>
        <w:widowControl w:val="1"/>
        <w:tabs>
          <w:tab w:leader="none" w:pos="1134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Перечень налоговых</w:t>
      </w:r>
      <w:r>
        <w:rPr>
          <w:rFonts w:ascii="Times New Roman" w:hAnsi="Times New Roman"/>
          <w:sz w:val="28"/>
        </w:rPr>
        <w:t xml:space="preserve"> расходов утверждается постановлением</w:t>
      </w:r>
      <w:r>
        <w:rPr>
          <w:rFonts w:ascii="Times New Roman" w:hAnsi="Times New Roman"/>
          <w:sz w:val="28"/>
        </w:rPr>
        <w:t xml:space="preserve"> администрации Крапивинского муниципального округа.</w:t>
      </w:r>
    </w:p>
    <w:p w14:paraId="2F000000">
      <w:pPr>
        <w:pStyle w:val="Style_2"/>
        <w:widowControl w:val="1"/>
        <w:tabs>
          <w:tab w:leader="none" w:pos="1134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Уполномоченный орган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ежегодно до 20 </w:t>
      </w:r>
      <w:r>
        <w:rPr>
          <w:rFonts w:ascii="Times New Roman" w:hAnsi="Times New Roman"/>
          <w:sz w:val="28"/>
        </w:rPr>
        <w:t xml:space="preserve">октября </w:t>
      </w:r>
      <w:r>
        <w:rPr>
          <w:rFonts w:ascii="Times New Roman" w:hAnsi="Times New Roman"/>
          <w:sz w:val="28"/>
        </w:rPr>
        <w:t xml:space="preserve"> разрабатывает проект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Крапивинского муниципального округа об утверждении перечня налоговых расходов Крапивинского муниципального округа на очередной финансовый год и плановый период и </w:t>
      </w:r>
      <w:r>
        <w:rPr>
          <w:rFonts w:ascii="Times New Roman" w:hAnsi="Times New Roman"/>
          <w:sz w:val="28"/>
        </w:rPr>
        <w:t xml:space="preserve">направляет </w:t>
      </w:r>
      <w:r>
        <w:rPr>
          <w:rFonts w:ascii="Times New Roman" w:hAnsi="Times New Roman"/>
          <w:sz w:val="28"/>
        </w:rPr>
        <w:t xml:space="preserve">его </w:t>
      </w:r>
      <w:r>
        <w:rPr>
          <w:rFonts w:ascii="Times New Roman" w:hAnsi="Times New Roman"/>
          <w:sz w:val="28"/>
        </w:rPr>
        <w:t xml:space="preserve">кураторам налоговых расходов Крапивинского муниципального округа </w:t>
      </w:r>
      <w:r>
        <w:rPr>
          <w:rFonts w:ascii="Times New Roman" w:hAnsi="Times New Roman"/>
          <w:sz w:val="28"/>
        </w:rPr>
        <w:t>для согласования.</w:t>
      </w:r>
    </w:p>
    <w:p w14:paraId="30000000">
      <w:pPr>
        <w:pStyle w:val="Style_2"/>
        <w:widowControl w:val="1"/>
        <w:tabs>
          <w:tab w:leader="none" w:pos="1134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Перечень налоговых расходов Крапивинского муниципального округа формируется в соответствии с формой, и приведенной</w:t>
      </w:r>
      <w:r>
        <w:rPr>
          <w:rFonts w:ascii="Times New Roman" w:hAnsi="Times New Roman"/>
          <w:sz w:val="28"/>
        </w:rPr>
        <w:t xml:space="preserve"> в приложении № 1 к настоящему П</w:t>
      </w:r>
      <w:r>
        <w:rPr>
          <w:rFonts w:ascii="Times New Roman" w:hAnsi="Times New Roman"/>
          <w:sz w:val="28"/>
        </w:rPr>
        <w:t>оложению.</w:t>
      </w:r>
    </w:p>
    <w:p w14:paraId="31000000">
      <w:pPr>
        <w:pStyle w:val="Style_2"/>
        <w:widowControl w:val="1"/>
        <w:tabs>
          <w:tab w:leader="none" w:pos="1134" w:val="left"/>
        </w:tabs>
        <w:ind w:firstLine="540"/>
        <w:jc w:val="both"/>
        <w:rPr>
          <w:rFonts w:ascii="Times New Roman" w:hAnsi="Times New Roman"/>
          <w:sz w:val="28"/>
        </w:rPr>
      </w:pPr>
    </w:p>
    <w:p w14:paraId="32000000">
      <w:pPr>
        <w:pStyle w:val="Style_2"/>
        <w:widowControl w:val="1"/>
        <w:tabs>
          <w:tab w:leader="none" w:pos="1134" w:val="left"/>
        </w:tabs>
        <w:ind w:firstLine="540"/>
        <w:jc w:val="both"/>
        <w:rPr>
          <w:rFonts w:ascii="Times New Roman" w:hAnsi="Times New Roman"/>
          <w:sz w:val="28"/>
        </w:rPr>
      </w:pPr>
    </w:p>
    <w:p w14:paraId="33000000">
      <w:pPr>
        <w:pStyle w:val="Style_2"/>
        <w:widowControl w:val="1"/>
        <w:tabs>
          <w:tab w:leader="none" w:pos="1134" w:val="left"/>
        </w:tabs>
        <w:ind w:firstLine="540"/>
        <w:jc w:val="both"/>
        <w:rPr>
          <w:rFonts w:ascii="Times New Roman" w:hAnsi="Times New Roman"/>
          <w:sz w:val="28"/>
        </w:rPr>
      </w:pPr>
    </w:p>
    <w:p w14:paraId="34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</w:p>
    <w:p w14:paraId="35000000">
      <w:pPr>
        <w:pStyle w:val="Style_3"/>
        <w:widowControl w:val="1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Порядок оценки налоговых расходов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Крапивинского муниципального</w:t>
      </w:r>
    </w:p>
    <w:p w14:paraId="36000000">
      <w:pPr>
        <w:pStyle w:val="Style_3"/>
        <w:widowControl w:val="1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округа</w:t>
      </w:r>
    </w:p>
    <w:p w14:paraId="37000000">
      <w:pPr>
        <w:pStyle w:val="Style_3"/>
        <w:widowControl w:val="1"/>
        <w:ind/>
        <w:jc w:val="center"/>
        <w:outlineLvl w:val="2"/>
        <w:rPr>
          <w:rFonts w:ascii="Times New Roman" w:hAnsi="Times New Roman"/>
          <w:sz w:val="28"/>
        </w:rPr>
      </w:pPr>
    </w:p>
    <w:p w14:paraId="38000000">
      <w:pPr>
        <w:pStyle w:val="Style_2"/>
        <w:widowControl w:val="1"/>
        <w:tabs>
          <w:tab w:leader="none" w:pos="1134" w:val="left"/>
        </w:tabs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Порядок взаимодействия в процессе оценки налоговых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расходов Крапивинского муниципального округа и обобщения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результатов оценки эффективности налоговых расходов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39000000">
      <w:pPr>
        <w:pStyle w:val="Style_3"/>
        <w:widowControl w:val="1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3A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В целях проведения оценки налоговых расходов Крапивинского муниципального округа:</w:t>
      </w:r>
    </w:p>
    <w:p w14:paraId="3B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t xml:space="preserve"> </w:t>
      </w:r>
      <w:r>
        <w:rPr>
          <w:rFonts w:ascii="Times New Roman" w:hAnsi="Times New Roman"/>
          <w:sz w:val="28"/>
        </w:rPr>
        <w:t xml:space="preserve">уполномоченный орган ежегодно до 1 февраля текущего финансового года направляет в территориальный налоговый орган (далее - налоговый орган) сведения о категориях </w:t>
      </w:r>
      <w:r>
        <w:rPr>
          <w:rFonts w:ascii="Times New Roman" w:hAnsi="Times New Roman"/>
          <w:sz w:val="28"/>
        </w:rPr>
        <w:t>плательщиков</w:t>
      </w:r>
      <w:r>
        <w:rPr>
          <w:rFonts w:ascii="Times New Roman" w:hAnsi="Times New Roman"/>
          <w:sz w:val="28"/>
        </w:rPr>
        <w:t xml:space="preserve"> с указанием обусловливающих соответствующие налоговые расходы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нормативных правовых актов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, в том числе действовавших в отчетном финансовом году и в году, предшествующем отчетному году, и иной информации, предусмотренной </w:t>
      </w:r>
      <w:r>
        <w:rPr>
          <w:rFonts w:ascii="Times New Roman" w:hAnsi="Times New Roman"/>
          <w:sz w:val="28"/>
        </w:rPr>
        <w:t>пунктами 1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Перечня показателей для проведения оценки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(далее - Перечень) согласно приложению N 2 к настоящему Положению;</w:t>
      </w:r>
    </w:p>
    <w:p w14:paraId="3C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уполномоченный орган ежегодно до 15 марта текущего финансового года запрашивает и получает сведения, предусмотренные </w:t>
      </w:r>
      <w:r>
        <w:rPr>
          <w:rFonts w:ascii="Times New Roman" w:hAnsi="Times New Roman"/>
          <w:sz w:val="28"/>
        </w:rPr>
        <w:t>пунктами 16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Перечня, в налоговом органе за год, предшествующий отчетному финансовому году, а также уточненные данные за предшествующий ему </w:t>
      </w:r>
      <w:r>
        <w:rPr>
          <w:rFonts w:ascii="Times New Roman" w:hAnsi="Times New Roman"/>
          <w:sz w:val="28"/>
        </w:rPr>
        <w:t>пятилетний</w:t>
      </w:r>
      <w:r>
        <w:rPr>
          <w:rFonts w:ascii="Times New Roman" w:hAnsi="Times New Roman"/>
          <w:sz w:val="28"/>
        </w:rPr>
        <w:t xml:space="preserve"> период с учетом информации по налоговым декларациям по состоянию на 1 марта финансового года;</w:t>
      </w:r>
    </w:p>
    <w:p w14:paraId="3D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уполномоченный орган ежегодно в течение 5 рабочих дней со дня получения от налогового органа доводит сведения, указанные в подпунктах "а", "б" настоящего пункта, до куратора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3E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куратор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ежегодно до 25 апреля текущего финансового года представляет в уполномоченный орган </w:t>
      </w:r>
      <w:r>
        <w:rPr>
          <w:rFonts w:ascii="Times New Roman" w:hAnsi="Times New Roman"/>
          <w:sz w:val="28"/>
        </w:rPr>
        <w:t>результаты</w:t>
      </w:r>
      <w:r>
        <w:rPr>
          <w:rFonts w:ascii="Times New Roman" w:hAnsi="Times New Roman"/>
          <w:sz w:val="28"/>
        </w:rPr>
        <w:t xml:space="preserve"> оценки эффективности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за год, предшествующий отчетному, в соответствии с приложением N 3 к настоящему Положению;</w:t>
      </w:r>
    </w:p>
    <w:p w14:paraId="3F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уполномоченный орган ежегодно до 15 мая текущего финансового года обобщает результаты оценки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 виде сводного отчета об оценке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и представляет его для рассмотрения в </w:t>
      </w:r>
      <w:r>
        <w:rPr>
          <w:rFonts w:ascii="Times New Roman" w:hAnsi="Times New Roman"/>
          <w:sz w:val="28"/>
        </w:rPr>
        <w:t xml:space="preserve">бюджетную </w:t>
      </w:r>
      <w:r>
        <w:rPr>
          <w:rFonts w:ascii="Times New Roman" w:hAnsi="Times New Roman"/>
          <w:sz w:val="28"/>
        </w:rPr>
        <w:t>комиссию и рассмотрению обращений о предоставлении налоговых льгот (далее - комиссия);</w:t>
      </w:r>
    </w:p>
    <w:p w14:paraId="40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сводный отчет об оценке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включает в себя:</w:t>
      </w:r>
    </w:p>
    <w:p w14:paraId="41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обобщенные результаты оценки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за год, предшествующий </w:t>
      </w:r>
      <w:r>
        <w:rPr>
          <w:rFonts w:ascii="Times New Roman" w:hAnsi="Times New Roman"/>
          <w:sz w:val="28"/>
        </w:rPr>
        <w:t>отчетному</w:t>
      </w:r>
      <w:r>
        <w:rPr>
          <w:rFonts w:ascii="Times New Roman" w:hAnsi="Times New Roman"/>
          <w:sz w:val="28"/>
        </w:rPr>
        <w:t>;</w:t>
      </w:r>
    </w:p>
    <w:p w14:paraId="42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суммах выпадающих доходов бюджета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по каждому налоговому расходу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за год, предшествующий отчетному;</w:t>
      </w:r>
    </w:p>
    <w:p w14:paraId="43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оценку и прогноз объема предоставленных льгот за отчетный финансовый год, текущий финансовый год, очередной финансовый год и плановый период по каждому налоговому расходу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44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комиссия в течение 8 рабочих дней от даты поступления сводного отчета рассматривает, согласовывает и подписывает сводный отчет об оценке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45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з) уполномоченный орган в течение 5 рабочих дней после дня подписания сводного отчета об оценке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размещает сводный отчет об оценке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на официальном сайте администрации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"Интернет";</w:t>
      </w:r>
    </w:p>
    <w:p w14:paraId="46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и) сводный отчет об оценке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 ежегодно до 5 июня текущего финансового года предоставляется уполномоченным органом в Министерство финансов Кузбасса;</w:t>
      </w:r>
    </w:p>
    <w:p w14:paraId="47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3.1.2. </w:t>
      </w:r>
      <w:r>
        <w:rPr>
          <w:rFonts w:ascii="Times New Roman" w:hAnsi="Times New Roman"/>
          <w:sz w:val="28"/>
        </w:rPr>
        <w:t>В случае изменения целевых характеристик налоговых расходов Крапивинского муниципального округа, а также целей, структуры муниципальных программ Крапивинского муниципального округа, целей социально-экономической политики, не относящихся к муниципальным программам Крапивинского муниципального округа, для оценки налоговых расходов Крапивинского муниципального округа используются их целевые характеристики, цели, цели социально-экономической политики, не относящиеся к муниципальным программам Крапивинского муниципального округа, действующие в году, за который проводится оценка</w:t>
      </w:r>
      <w:r>
        <w:rPr>
          <w:rFonts w:ascii="Times New Roman" w:hAnsi="Times New Roman"/>
          <w:sz w:val="28"/>
        </w:rPr>
        <w:t xml:space="preserve"> эффективности налоговых расходов.</w:t>
      </w:r>
    </w:p>
    <w:p w14:paraId="48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</w:p>
    <w:p w14:paraId="49000000">
      <w:pPr>
        <w:pStyle w:val="Style_3"/>
        <w:widowControl w:val="1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3.2. Правила формирования информации о </w:t>
      </w:r>
      <w:r>
        <w:rPr>
          <w:rFonts w:ascii="Times New Roman" w:hAnsi="Times New Roman"/>
          <w:b w:val="0"/>
          <w:sz w:val="28"/>
        </w:rPr>
        <w:t>нормативных</w:t>
      </w:r>
      <w:r>
        <w:rPr>
          <w:rFonts w:ascii="Times New Roman" w:hAnsi="Times New Roman"/>
          <w:b w:val="0"/>
          <w:sz w:val="28"/>
        </w:rPr>
        <w:t>, целевых</w:t>
      </w:r>
    </w:p>
    <w:p w14:paraId="4A000000">
      <w:pPr>
        <w:pStyle w:val="Style_3"/>
        <w:widowControl w:val="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и фискальных </w:t>
      </w:r>
      <w:r>
        <w:rPr>
          <w:rFonts w:ascii="Times New Roman" w:hAnsi="Times New Roman"/>
          <w:b w:val="0"/>
          <w:sz w:val="28"/>
        </w:rPr>
        <w:t>характеристиках</w:t>
      </w:r>
      <w:r>
        <w:rPr>
          <w:rFonts w:ascii="Times New Roman" w:hAnsi="Times New Roman"/>
          <w:b w:val="0"/>
          <w:sz w:val="28"/>
        </w:rPr>
        <w:t xml:space="preserve"> налоговых расходов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Крапивинского муниципального округа</w:t>
      </w:r>
    </w:p>
    <w:p w14:paraId="4B000000">
      <w:pPr>
        <w:pStyle w:val="Style_3"/>
        <w:widowControl w:val="1"/>
        <w:ind/>
        <w:jc w:val="center"/>
        <w:rPr>
          <w:rFonts w:ascii="Times New Roman" w:hAnsi="Times New Roman"/>
          <w:b w:val="0"/>
          <w:sz w:val="28"/>
        </w:rPr>
      </w:pPr>
    </w:p>
    <w:p w14:paraId="4C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3.2.1. Информация о нормативных характеристиках налоговых расходов Крапивинского муниципального округа формируется </w:t>
      </w:r>
      <w:r>
        <w:rPr>
          <w:rFonts w:ascii="Times New Roman" w:hAnsi="Times New Roman"/>
          <w:sz w:val="28"/>
        </w:rPr>
        <w:t>уполномоченным органом</w:t>
      </w:r>
      <w:r>
        <w:rPr>
          <w:rFonts w:ascii="Times New Roman" w:hAnsi="Times New Roman"/>
          <w:sz w:val="28"/>
        </w:rPr>
        <w:t>.</w:t>
      </w:r>
    </w:p>
    <w:p w14:paraId="4D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3.2.2. Информация о целевых характеристиках налоговых расходов Крапивинского муниципального округа  формируется </w:t>
      </w:r>
      <w:r>
        <w:rPr>
          <w:rFonts w:ascii="Times New Roman" w:hAnsi="Times New Roman"/>
          <w:sz w:val="28"/>
        </w:rPr>
        <w:t>уполномоченным органом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 с кураторами налоговых расходов Крапивинского муниципального округа</w:t>
      </w:r>
      <w:r>
        <w:rPr>
          <w:rFonts w:ascii="Times New Roman" w:hAnsi="Times New Roman"/>
          <w:sz w:val="28"/>
        </w:rPr>
        <w:t xml:space="preserve"> в порядке, установленном настоящим Положением</w:t>
      </w:r>
      <w:r>
        <w:rPr>
          <w:rFonts w:ascii="Times New Roman" w:hAnsi="Times New Roman"/>
          <w:sz w:val="28"/>
        </w:rPr>
        <w:t>.</w:t>
      </w:r>
    </w:p>
    <w:p w14:paraId="4E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3.2.3. </w:t>
      </w:r>
      <w:r>
        <w:rPr>
          <w:rFonts w:ascii="Times New Roman" w:hAnsi="Times New Roman"/>
          <w:sz w:val="28"/>
        </w:rPr>
        <w:t xml:space="preserve">Информация о фискальных характеристиках налоговых расходов Крапивинского муниципального округа формируется  </w:t>
      </w:r>
      <w:r>
        <w:rPr>
          <w:rFonts w:ascii="Times New Roman" w:hAnsi="Times New Roman"/>
          <w:sz w:val="28"/>
        </w:rPr>
        <w:t>уполномоченным органом</w:t>
      </w:r>
      <w:r>
        <w:rPr>
          <w:rFonts w:ascii="Times New Roman" w:hAnsi="Times New Roman"/>
          <w:sz w:val="28"/>
        </w:rPr>
        <w:t xml:space="preserve"> на основе сведений, полученных от </w:t>
      </w:r>
      <w:r>
        <w:rPr>
          <w:rFonts w:ascii="Times New Roman" w:hAnsi="Times New Roman"/>
          <w:sz w:val="28"/>
        </w:rPr>
        <w:t xml:space="preserve"> налогового органа</w:t>
      </w:r>
      <w:r>
        <w:rPr>
          <w:rFonts w:ascii="Times New Roman" w:hAnsi="Times New Roman"/>
          <w:sz w:val="28"/>
        </w:rPr>
        <w:t xml:space="preserve">, а также на основе результатов оценки эффективности налоговых расходов Крапивинского </w:t>
      </w:r>
      <w:r>
        <w:rPr>
          <w:rFonts w:ascii="Times New Roman" w:hAnsi="Times New Roman"/>
          <w:sz w:val="28"/>
        </w:rPr>
        <w:t>муниципального округа  и оценок объема предоставленных льгот на текущий финансовый год, очередной финансовый год и плановый период, полученных от кураторов налоговых расходов Крапивинского муниципального округа.</w:t>
      </w:r>
    </w:p>
    <w:p w14:paraId="4F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3.2.4.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"P202"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Перечень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показателей для проведения оценки налоговых расходов Крапивинского муниципального округа, составляющих нормативные, целевые и фискальные характеристики налоговых расходов Крапивинского муниципального округа, приведен в приложении N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настоящему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ложению</w:t>
      </w:r>
      <w:r>
        <w:rPr>
          <w:rFonts w:ascii="Times New Roman" w:hAnsi="Times New Roman"/>
          <w:sz w:val="28"/>
        </w:rPr>
        <w:t>.</w:t>
      </w:r>
    </w:p>
    <w:p w14:paraId="50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</w:p>
    <w:p w14:paraId="51000000">
      <w:pPr>
        <w:pStyle w:val="Style_3"/>
        <w:widowControl w:val="1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3.3. Правила проведения оценки налоговых расходов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Крапивинского муниципального округа</w:t>
      </w:r>
    </w:p>
    <w:p w14:paraId="52000000">
      <w:pPr>
        <w:pStyle w:val="Style_3"/>
        <w:widowControl w:val="1"/>
        <w:ind/>
        <w:jc w:val="center"/>
        <w:outlineLvl w:val="2"/>
        <w:rPr>
          <w:rFonts w:ascii="Times New Roman" w:hAnsi="Times New Roman"/>
          <w:sz w:val="28"/>
        </w:rPr>
      </w:pPr>
    </w:p>
    <w:p w14:paraId="53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целях проведения оценки эффективности налоговых расходов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налоговые расходы Крапивинского муниципального округа  подразделяются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программные, нераспределенные и непрограммные.</w:t>
      </w:r>
    </w:p>
    <w:p w14:paraId="54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Оценка эффективности программных налоговых расходов Крапивинского муниципального округа  осуществляется куратор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налоговых расходов Крапивинского муниципального округа.</w:t>
      </w:r>
    </w:p>
    <w:p w14:paraId="55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Оценка эффективности нераспределенных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непрограммных </w:t>
      </w:r>
      <w:r>
        <w:rPr>
          <w:rFonts w:ascii="Times New Roman" w:hAnsi="Times New Roman"/>
          <w:sz w:val="28"/>
        </w:rPr>
        <w:t xml:space="preserve">налоговых расходов Крапивинского муниципального округа  осуществляется </w:t>
      </w:r>
      <w:r>
        <w:rPr>
          <w:rFonts w:ascii="Times New Roman" w:hAnsi="Times New Roman"/>
          <w:sz w:val="28"/>
        </w:rPr>
        <w:t>уполномоченным органом</w:t>
      </w:r>
      <w:r>
        <w:rPr>
          <w:rFonts w:ascii="Times New Roman" w:hAnsi="Times New Roman"/>
          <w:sz w:val="28"/>
        </w:rPr>
        <w:t>.</w:t>
      </w:r>
    </w:p>
    <w:p w14:paraId="56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Налоговые расходы Крапивинского муниципального округа, </w:t>
      </w:r>
      <w:r>
        <w:rPr>
          <w:rFonts w:ascii="Times New Roman" w:hAnsi="Times New Roman"/>
          <w:sz w:val="28"/>
        </w:rPr>
        <w:t>цели</w:t>
      </w:r>
      <w:r>
        <w:rPr>
          <w:rFonts w:ascii="Times New Roman" w:hAnsi="Times New Roman"/>
          <w:sz w:val="28"/>
        </w:rPr>
        <w:t xml:space="preserve"> предоставления которых соответствуют одной и той же цели  муниципальной программы Крапивинского муниципального округа, могут оцениваться совместно.</w:t>
      </w:r>
    </w:p>
    <w:p w14:paraId="57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Оценка эффективности налоговых расходов Крапивинского муниципального округа   проводится в два этапа:</w:t>
      </w:r>
    </w:p>
    <w:p w14:paraId="58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этап - оценка целесообразности налоговых расходов Крапивинского муниципального округа;</w:t>
      </w:r>
    </w:p>
    <w:p w14:paraId="59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этап - оценка результативности налоговых расходов Крапивинского муниципального округа.</w:t>
      </w:r>
    </w:p>
    <w:p w14:paraId="5A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Критериями целесообразности налоговых расходов Крапивинского муниципального округа  являются:</w:t>
      </w:r>
    </w:p>
    <w:p w14:paraId="5B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соответствие налоговых расходов Крапивинского муниципального округа  целям муниципальных программ Крапивинского муниципального округа, и (или) целям социально-экономической политики Крапивинского муниципального округа, не относящимся к муниципальным программам Крапивинского муниципального округа;</w:t>
      </w:r>
    </w:p>
    <w:p w14:paraId="5C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востребованность плательщиками предоставленных льгот, </w:t>
      </w:r>
      <w:r>
        <w:rPr>
          <w:rFonts w:ascii="Times New Roman" w:hAnsi="Times New Roman"/>
          <w:sz w:val="28"/>
        </w:rPr>
        <w:t>которая</w:t>
      </w:r>
      <w:r>
        <w:rPr>
          <w:rFonts w:ascii="Times New Roman" w:hAnsi="Times New Roman"/>
          <w:sz w:val="28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</w:t>
      </w:r>
      <w:r>
        <w:rPr>
          <w:rFonts w:ascii="Times New Roman" w:hAnsi="Times New Roman"/>
          <w:sz w:val="28"/>
        </w:rPr>
        <w:t xml:space="preserve">обладающих потенциальным правом на применение льготы, или общей численности плательщиков, </w:t>
      </w:r>
      <w:r>
        <w:rPr>
          <w:rFonts w:ascii="Times New Roman" w:hAnsi="Times New Roman"/>
          <w:sz w:val="28"/>
        </w:rPr>
        <w:t>за 5-летний период.</w:t>
      </w:r>
      <w:r>
        <w:rPr>
          <w:rFonts w:ascii="Times New Roman" w:hAnsi="Times New Roman"/>
          <w:sz w:val="28"/>
        </w:rPr>
        <w:t xml:space="preserve">     </w:t>
      </w:r>
    </w:p>
    <w:p w14:paraId="5D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несоответствия налоговых расходов Крапивинского муниципального округа  хотя бы одному из критериев, указанных в настоящем </w:t>
      </w:r>
      <w:r>
        <w:rPr>
          <w:rFonts w:ascii="Times New Roman" w:hAnsi="Times New Roman"/>
          <w:sz w:val="28"/>
        </w:rPr>
        <w:t xml:space="preserve">пункте, куратору налогового расхода Крапивинского муниципального округа  надлежит представить в </w:t>
      </w:r>
      <w:r>
        <w:rPr>
          <w:rFonts w:ascii="Times New Roman" w:hAnsi="Times New Roman"/>
          <w:sz w:val="28"/>
        </w:rPr>
        <w:t>уполномоченный орган</w:t>
      </w:r>
      <w:r>
        <w:rPr>
          <w:rFonts w:ascii="Times New Roman" w:hAnsi="Times New Roman"/>
          <w:sz w:val="28"/>
        </w:rPr>
        <w:t xml:space="preserve"> предложения о сохранении (уточнении, отмене) льгот, обуславливающих такие налоговые расходы.</w:t>
      </w:r>
    </w:p>
    <w:p w14:paraId="5E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необходимости кураторами налоговых расходов Крапивинского муниципального округа  могут быть установлены иные критерии целесообразности предоставления льгот плательщикам.</w:t>
      </w:r>
    </w:p>
    <w:p w14:paraId="5F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проведения оценки востребованности плательщиками предоставленных льгот кураторами налоговых расходов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</w:p>
    <w:p w14:paraId="60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Оценка результативности налоговых расходов Крапивинского муниципального округа   включает:</w:t>
      </w:r>
    </w:p>
    <w:p w14:paraId="61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оценку вклада льгот в изменение значения показателя (индикатора) достижения целей муниципальной программы Крапивинского муниципального округа  и (или) целей социально-экономической политики, не относящихся к муниципальным программам Крапивинского муниципального округа;</w:t>
      </w:r>
    </w:p>
    <w:p w14:paraId="62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оценку бюджетной эффективности налоговых расходов Крапивинского муниципального округа.</w:t>
      </w:r>
    </w:p>
    <w:p w14:paraId="63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Для оценки результативности налогового расхода Крапивинского муниципального округа </w:t>
      </w:r>
      <w:r>
        <w:rPr>
          <w:rFonts w:ascii="Times New Roman" w:hAnsi="Times New Roman"/>
          <w:sz w:val="28"/>
        </w:rPr>
        <w:t>рекомендуется</w:t>
      </w:r>
      <w:r>
        <w:rPr>
          <w:rFonts w:ascii="Times New Roman" w:hAnsi="Times New Roman"/>
          <w:sz w:val="28"/>
        </w:rPr>
        <w:t xml:space="preserve"> использовать показатель (индикатор), соответствующий цели муниципальной программы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Крапивинского муниципального округа </w:t>
      </w:r>
      <w:r>
        <w:rPr>
          <w:rFonts w:ascii="Times New Roman" w:hAnsi="Times New Roman"/>
          <w:sz w:val="28"/>
        </w:rPr>
        <w:t xml:space="preserve"> и (или) цели социально-экономической политики, по отношению к которой проведена оценка целесообразности данного налогового расхода.</w:t>
      </w:r>
    </w:p>
    <w:p w14:paraId="64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Оценка результативности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не проводится в отношении технических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65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Оценка вклада льгот в изменение значения показателя (индикатора) достижения целей муниципальной программы </w:t>
      </w:r>
      <w:r>
        <w:rPr>
          <w:rFonts w:ascii="Times New Roman" w:hAnsi="Times New Roman"/>
          <w:sz w:val="28"/>
        </w:rPr>
        <w:t xml:space="preserve">Крапивинского муниципального округа </w:t>
      </w:r>
      <w:r>
        <w:rPr>
          <w:rFonts w:ascii="Times New Roman" w:hAnsi="Times New Roman"/>
          <w:sz w:val="28"/>
        </w:rPr>
        <w:t>и (или) целей социально-экономической политики (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>) рассчитывается по следующей формуле:</w:t>
      </w:r>
    </w:p>
    <w:p w14:paraId="66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 = </w:t>
      </w: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bscript"/>
        </w:rPr>
        <w:t>факт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bscript"/>
        </w:rPr>
        <w:t>контр</w:t>
      </w:r>
      <w:r>
        <w:rPr>
          <w:rFonts w:ascii="Times New Roman" w:hAnsi="Times New Roman"/>
          <w:sz w:val="28"/>
        </w:rPr>
        <w:t>,</w:t>
      </w:r>
    </w:p>
    <w:p w14:paraId="67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14:paraId="68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bscript"/>
        </w:rPr>
        <w:t>факт</w:t>
      </w:r>
      <w:r>
        <w:rPr>
          <w:rFonts w:ascii="Times New Roman" w:hAnsi="Times New Roman"/>
          <w:sz w:val="28"/>
        </w:rPr>
        <w:t xml:space="preserve"> - значение показателя (индикатора) достижения целей муниципальной программы Крапивинского муниципального округа  и (или) целей социально-экономической политики с учетом льгот (фактическое);</w:t>
      </w:r>
    </w:p>
    <w:p w14:paraId="69000000">
      <w:pPr>
        <w:pStyle w:val="Style_2"/>
        <w:widowControl w:val="1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bscript"/>
        </w:rPr>
        <w:t>контр</w:t>
      </w:r>
      <w:r>
        <w:rPr>
          <w:rFonts w:ascii="Times New Roman" w:hAnsi="Times New Roman"/>
          <w:sz w:val="28"/>
        </w:rPr>
        <w:t xml:space="preserve"> - значение показателя (индикатора) достижения целей муниципальной программы Крапивинского муниципального округа  и (или) целей социально-экономической политики без учета льгот (</w:t>
      </w:r>
      <w:r>
        <w:rPr>
          <w:rFonts w:ascii="Times New Roman" w:hAnsi="Times New Roman"/>
          <w:sz w:val="28"/>
        </w:rPr>
        <w:t>контрфактическое</w:t>
      </w:r>
      <w:r>
        <w:rPr>
          <w:rFonts w:ascii="Times New Roman" w:hAnsi="Times New Roman"/>
          <w:sz w:val="28"/>
        </w:rPr>
        <w:t>).</w:t>
      </w:r>
    </w:p>
    <w:p w14:paraId="6A000000">
      <w:pPr>
        <w:pStyle w:val="Style_2"/>
        <w:widowControl w:val="1"/>
        <w:spacing w:before="220"/>
        <w:ind w:firstLine="54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С целью </w:t>
      </w:r>
      <w:r>
        <w:rPr>
          <w:rFonts w:ascii="Times New Roman" w:hAnsi="Times New Roman"/>
          <w:sz w:val="28"/>
        </w:rPr>
        <w:t>обеспечения сопоставимости показателей оценки вклада льгот</w:t>
      </w:r>
      <w:r>
        <w:rPr>
          <w:rFonts w:ascii="Times New Roman" w:hAnsi="Times New Roman"/>
          <w:sz w:val="28"/>
        </w:rPr>
        <w:t xml:space="preserve"> в изменение значения показателя (индикатора) достижения целей муниципальной программы Крапивинского 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 и (или) целей социально-экономической политики рассчитывается нормированный показатель оценки (</w:t>
      </w:r>
      <m:oMathPara>
        <m:oMath>
          <m:limUpp>
            <m:e>
              <m:r>
                <w:rPr>
                  <w:rFonts w:ascii="Cambria Math" w:hAnsi="Cambria Math"/>
                  <w:sz w:val="28"/>
                </w:rPr>
                <m:t>S</m:t>
              </m:r>
            </m:e>
            <m:lim>
              <m:r>
                <w:rPr>
                  <w:rFonts w:ascii="Cambria Math" w:hAnsi="Cambria Math"/>
                  <w:sz w:val="28"/>
                </w:rPr>
                <m:t>̃</m:t>
              </m:r>
            </m:lim>
          </m:limUpp>
        </m:oMath>
      </m:oMathPara>
      <w:r>
        <w:rPr>
          <w:rFonts w:ascii="Times New Roman" w:hAnsi="Times New Roman"/>
          <w:sz w:val="28"/>
        </w:rPr>
        <w:t>):</w:t>
      </w:r>
    </w:p>
    <w:p w14:paraId="6B000000">
      <w:pPr>
        <w:pStyle w:val="Style_2"/>
        <w:widowControl w:val="1"/>
        <w:spacing w:before="220"/>
        <w:ind w:firstLine="540"/>
        <w:jc w:val="both"/>
        <w:rPr>
          <w:rFonts w:ascii="Times New Roman" w:hAnsi="Times New Roman"/>
          <w:i w:val="1"/>
          <w:sz w:val="28"/>
        </w:rPr>
      </w:pPr>
      <m:oMathPara>
        <m:oMath>
          <m:limUpp>
            <m:e>
              <m:r>
                <w:rPr>
                  <w:rFonts w:ascii="Cambria Math" w:hAnsi="Cambria Math"/>
                  <w:sz w:val="28"/>
                </w:rPr>
                <m:t>S</m:t>
              </m:r>
            </m:e>
            <m:lim>
              <m:r>
                <w:rPr>
                  <w:rFonts w:ascii="Cambria Math" w:hAnsi="Cambria Math"/>
                  <w:sz w:val="28"/>
                </w:rPr>
                <m:t>̃</m:t>
              </m:r>
            </m:lim>
          </m:limUpp>
          <m:r>
            <w:rPr>
              <w:rFonts w:ascii="Cambria Math" w:hAnsi="Cambria Math"/>
              <w:sz w:val="28"/>
            </w:rPr>
            <m:t>=</m:t>
          </m:r>
          <m:f>
            <m:fPr>
              <m:type m:val="bar"/>
            </m:fPr>
            <m:num>
              <m:r>
                <w:rPr>
                  <w:rFonts w:ascii="Cambria Math" w:hAnsi="Cambria Math"/>
                  <w:sz w:val="28"/>
                </w:rPr>
                <m:t>S</m:t>
              </m:r>
            </m:num>
            <m:den>
              <m:d>
                <m:dPr>
                  <m:sepChr m:val=","/>
                </m:dPr>
                <m:e>
                  <m:d>
                    <m:dPr>
                      <m:begChr m:val="|"/>
                      <m:sepChr m:val=","/>
                      <m:endChr m:val="|"/>
                    </m:dPr>
                    <m:e>
                      <m:sSub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</w:rPr>
                            <m:rPr>
                              <m:sty m:val="p"/>
                            </m:rPr>
                            <m:t>факт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</w:rPr>
                    <m:t>+</m:t>
                  </m:r>
                  <m:d>
                    <m:dPr>
                      <m:begChr m:val="|"/>
                      <m:sepChr m:val=","/>
                      <m:endChr m:val="|"/>
                    </m:dPr>
                    <m:e>
                      <m:sSub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</w:rPr>
                            <m:rPr>
                              <m:sty m:val="p"/>
                            </m:rPr>
                            <m:t>контр</m:t>
                          </m:r>
                        </m:sub>
                      </m:sSub>
                    </m:e>
                  </m:d>
                </m:e>
              </m:d>
              <m:r>
                <w:rPr>
                  <w:rFonts w:ascii="Cambria Math" w:hAnsi="Cambria Math"/>
                  <w:sz w:val="28"/>
                </w:rPr>
                <m:t>/2</m:t>
              </m:r>
            </m:den>
          </m:f>
        </m:oMath>
      </m:oMathPara>
    </w:p>
    <w:p w14:paraId="6C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6D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Значение </w:t>
      </w: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bscript"/>
        </w:rPr>
        <w:t>контр</w:t>
      </w:r>
      <w:r>
        <w:rPr>
          <w:rFonts w:ascii="Times New Roman" w:hAnsi="Times New Roman"/>
          <w:sz w:val="28"/>
        </w:rPr>
        <w:t xml:space="preserve"> может оцениваться одним из следующих способов:</w:t>
      </w:r>
    </w:p>
    <w:p w14:paraId="6E000000">
      <w:pPr>
        <w:pStyle w:val="Style_2"/>
        <w:widowControl w:val="1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основе сложившейся до введения льготы динамики показателя;</w:t>
      </w:r>
    </w:p>
    <w:p w14:paraId="6F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 основе значения (динамики) аналогичного показателя на территориях, на которых не действуют аналогичные оцениваемым льготы, либо их объем существенно меньше, чем на территории, для которой оценивается показатель;</w:t>
      </w:r>
    </w:p>
    <w:p w14:paraId="70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иным способом по выбору куратора налогового расхода Крапивинского муниципального округа.</w:t>
      </w:r>
    </w:p>
    <w:p w14:paraId="71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составе результатов оценки налоговых расходов Крапивинского муниципального округа   куратор налоговых расходов представляет описание способа оценки </w:t>
      </w: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bscript"/>
        </w:rPr>
        <w:t>контр</w:t>
      </w:r>
      <w:r>
        <w:rPr>
          <w:rFonts w:ascii="Times New Roman" w:hAnsi="Times New Roman"/>
          <w:sz w:val="28"/>
        </w:rPr>
        <w:t>.</w:t>
      </w:r>
    </w:p>
    <w:p w14:paraId="72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S = 0 делается вывод об отсутствии вклада оцениваемых льгот в достижение цели муниципальной программы Крапивинского муниципального округа  и (или) цели социально-экономической политики, по отношению к которой проведена оценка результативности данного налогового расхода.</w:t>
      </w:r>
    </w:p>
    <w:p w14:paraId="73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S ≠ 0 вывод о вкладе оцениваемых льгот в достижение цели муниципальной программы Крапивинского муниципального округа  и (или) цели социально-экономической политики делается в зависимости от сущности показателя (индикатора), для которого проводится оценка.</w:t>
      </w:r>
    </w:p>
    <w:p w14:paraId="74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благоприятному развитию ситуации соответствует увеличение показателя, вывод об отсутствии вклада оцениваемых льгот в достижение цели муниципальной программы Крапивинского муниципального округа  и (или) цели социально-экономической политики делается при S &lt; 0. В случае если благоприятному развитию ситуации соответствует уменьшение показателя, вывод об отсутствии вклада делается при S &gt; 0.</w:t>
      </w:r>
    </w:p>
    <w:p w14:paraId="75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Оценка бюджетной эффективности налоговых расходов Крапивинского муниципального округа  представляет собой обоснованное мнение куратора налоговых расходов Крапивинского муниципального округа  о сравнительной эффективности для достижения целевых значений показателей (индикаторов) муниципальных программ Крапивинского муниципального округа  налоговых расходов Крапивинского муниципального округа  и альтернативных методов муниципальной поддержки, а именно:</w:t>
      </w:r>
    </w:p>
    <w:p w14:paraId="76000000">
      <w:pPr>
        <w:pStyle w:val="Style_2"/>
        <w:widowControl w:val="1"/>
        <w:tabs>
          <w:tab w:leader="none" w:pos="993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субсидий или иных форм непосредственной финансовой поддержки плательщиков, имеющих право на льготы, за счет средств бюджета Крапивинского муниципального округа;</w:t>
      </w:r>
    </w:p>
    <w:p w14:paraId="77000000">
      <w:pPr>
        <w:pStyle w:val="Style_2"/>
        <w:widowControl w:val="1"/>
        <w:tabs>
          <w:tab w:leader="none" w:pos="993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предоставления муниципальных гарантий Крапивинского муниципального округа  по обязательствам плательщиков, имеющих право на льготы;</w:t>
      </w:r>
    </w:p>
    <w:p w14:paraId="78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14:paraId="79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При необходимости куратором налогового расхода могут быть </w:t>
      </w:r>
      <w:r>
        <w:rPr>
          <w:rFonts w:ascii="Times New Roman" w:hAnsi="Times New Roman"/>
          <w:sz w:val="28"/>
        </w:rPr>
        <w:t xml:space="preserve">установлены дополнительные критерии оценки бюджетной эффективности налогового расхода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7A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Оценку результативности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допускается не проводить в отношении технических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7B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"https://login.consultant.ru/link/?req=doc&amp;base=RLAW284&amp;n=108627&amp;dst=100008"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3.3.1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По результатам оценки налоговых расходов куратором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делается общий вывод об эффективности (неэффективности)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, а также формулируются предложения по сохранению (отмене, изменению)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7C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"https://login.consultant.ru/link/?req=doc&amp;base=RLAW284&amp;n=108627&amp;dst=100008"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3.3.1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Результаты</w:t>
      </w:r>
      <w:r>
        <w:rPr>
          <w:rFonts w:ascii="Times New Roman" w:hAnsi="Times New Roman"/>
          <w:sz w:val="28"/>
        </w:rPr>
        <w:t xml:space="preserve"> оценки эффективности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оформляются куратором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в соответствии с приложением N 3 к настоящему Положению и направляются в уполномоченный орган в соответствии с настоящим Положением.</w:t>
      </w:r>
    </w:p>
    <w:p w14:paraId="7D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</w:p>
    <w:p w14:paraId="7E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</w:p>
    <w:p w14:paraId="7F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</w:p>
    <w:p w14:paraId="80000000">
      <w:pPr>
        <w:pStyle w:val="Style_2"/>
        <w:widowControl w:val="1"/>
        <w:tabs>
          <w:tab w:leader="none" w:pos="1418" w:val="left"/>
        </w:tabs>
        <w:ind w:firstLine="540"/>
        <w:jc w:val="both"/>
        <w:rPr>
          <w:rFonts w:ascii="Times New Roman" w:hAnsi="Times New Roman"/>
          <w:sz w:val="28"/>
        </w:rPr>
      </w:pPr>
    </w:p>
    <w:p w14:paraId="81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82000000">
      <w:pPr>
        <w:sectPr>
          <w:headerReference r:id="rId2" w:type="default"/>
          <w:headerReference r:id="rId7" w:type="first"/>
          <w:pgSz w:h="16838" w:orient="portrait" w:w="11906"/>
          <w:pgMar w:bottom="851" w:footer="709" w:gutter="0" w:header="709" w:left="1418" w:right="851" w:top="1134"/>
          <w:pgNumType w:start="1"/>
          <w:titlePg/>
        </w:sectPr>
      </w:pPr>
    </w:p>
    <w:p w14:paraId="83000000">
      <w:pPr>
        <w:widowControl w:val="0"/>
        <w:ind w:firstLine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Приложение N 1</w:t>
      </w:r>
    </w:p>
    <w:p w14:paraId="84000000">
      <w:pPr>
        <w:widowControl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о формировании</w:t>
      </w:r>
    </w:p>
    <w:p w14:paraId="85000000">
      <w:pPr>
        <w:widowControl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перечня налоговых расходов</w:t>
      </w:r>
    </w:p>
    <w:p w14:paraId="86000000">
      <w:pPr>
        <w:widowControl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Крапивинского муниципального округа</w:t>
      </w:r>
    </w:p>
    <w:p w14:paraId="87000000">
      <w:pPr>
        <w:widowControl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оценке налоговых расходов</w:t>
      </w:r>
    </w:p>
    <w:p w14:paraId="88000000">
      <w:pPr>
        <w:widowControl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Крапивинского муниципального округа</w:t>
      </w:r>
    </w:p>
    <w:p w14:paraId="89000000">
      <w:pPr>
        <w:widowControl w:val="0"/>
        <w:ind w:firstLine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Перечень</w:t>
      </w:r>
    </w:p>
    <w:p w14:paraId="8A000000">
      <w:pPr>
        <w:widowControl w:val="0"/>
        <w:ind w:firstLine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налоговых расходов Крапивинского муниципального округа на ________ год и плановый период</w:t>
      </w:r>
    </w:p>
    <w:p w14:paraId="8B000000">
      <w:pPr>
        <w:widowControl w:val="0"/>
        <w:ind w:firstLine="0"/>
        <w:rPr>
          <w:rFonts w:ascii="Times New Roman" w:hAnsi="Times New Roman"/>
        </w:rPr>
      </w:pPr>
    </w:p>
    <w:p w14:paraId="8C000000">
      <w:pPr>
        <w:widowControl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Дата формирования перечня: ____________</w:t>
      </w:r>
    </w:p>
    <w:p w14:paraId="8D000000">
      <w:pPr>
        <w:widowControl w:val="0"/>
        <w:ind w:firstLine="0"/>
        <w:rPr>
          <w:rFonts w:ascii="Times New Roman" w:hAnsi="Times New Roman"/>
        </w:rPr>
      </w:pPr>
    </w:p>
    <w:tbl>
      <w:tblPr>
        <w:tblStyle w:val="Style_4"/>
        <w:tblW w:type="auto" w:w="0"/>
        <w:tblInd w:type="dxa" w:w="-50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1418"/>
        <w:gridCol w:w="1559"/>
        <w:gridCol w:w="1418"/>
        <w:gridCol w:w="1417"/>
        <w:gridCol w:w="1134"/>
        <w:gridCol w:w="1418"/>
        <w:gridCol w:w="1275"/>
        <w:gridCol w:w="1418"/>
        <w:gridCol w:w="1984"/>
        <w:gridCol w:w="2268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Нормативный правовой акт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  <w:r>
              <w:rPr>
                <w:rFonts w:ascii="Times New Roman" w:hAnsi="Times New Roman"/>
              </w:rPr>
              <w:t>, устанавливающий налоговые льготы, освобождения и иные преференции по налогам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Структурная единица нормативного правового акта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Целевая категория налогового расхода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Налог, по которому предусматриваются налоговые льготы, освобождения и иные преференции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</w:t>
            </w:r>
            <w:r>
              <w:rPr>
                <w:rFonts w:ascii="Times New Roman" w:hAnsi="Times New Roman"/>
              </w:rPr>
              <w:t xml:space="preserve"> программа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  <w:r>
              <w:rPr>
                <w:rFonts w:ascii="Times New Roman" w:hAnsi="Times New Roman"/>
              </w:rPr>
              <w:t>, соответствующая налоговым льготам, освобождениям и иным преференциям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Куратор налогового расхода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AF000000">
      <w:pPr>
        <w:sectPr>
          <w:headerReference r:id="rId8" w:type="default"/>
          <w:headerReference r:id="rId4" w:type="first"/>
          <w:pgSz w:h="11906" w:orient="landscape" w:w="16838"/>
          <w:pgMar w:bottom="851" w:footer="709" w:gutter="0" w:header="709" w:left="851" w:right="1134" w:top="1418"/>
          <w:titlePg/>
        </w:sectPr>
      </w:pPr>
    </w:p>
    <w:p w14:paraId="B0000000">
      <w:pPr>
        <w:pStyle w:val="Style_2"/>
        <w:widowControl w:val="1"/>
        <w:ind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риложение N </w:t>
      </w:r>
      <w:r>
        <w:rPr>
          <w:rFonts w:ascii="Times New Roman" w:hAnsi="Times New Roman"/>
          <w:sz w:val="24"/>
        </w:rPr>
        <w:t>2</w:t>
      </w:r>
    </w:p>
    <w:p w14:paraId="B1000000">
      <w:pPr>
        <w:pStyle w:val="Style_2"/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</w:t>
      </w:r>
      <w:r>
        <w:rPr>
          <w:rFonts w:ascii="Times New Roman" w:hAnsi="Times New Roman"/>
          <w:sz w:val="24"/>
        </w:rPr>
        <w:t>ложению о</w:t>
      </w:r>
      <w:r>
        <w:rPr>
          <w:rFonts w:ascii="Times New Roman" w:hAnsi="Times New Roman"/>
          <w:sz w:val="24"/>
        </w:rPr>
        <w:t xml:space="preserve"> формировани</w:t>
      </w:r>
      <w:r>
        <w:rPr>
          <w:rFonts w:ascii="Times New Roman" w:hAnsi="Times New Roman"/>
          <w:sz w:val="24"/>
        </w:rPr>
        <w:t>и</w:t>
      </w:r>
    </w:p>
    <w:p w14:paraId="B2000000">
      <w:pPr>
        <w:pStyle w:val="Style_2"/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перечня налоговых расходов</w:t>
      </w:r>
      <w:r>
        <w:rPr>
          <w:rFonts w:ascii="Times New Roman" w:hAnsi="Times New Roman"/>
          <w:sz w:val="24"/>
        </w:rPr>
        <w:t xml:space="preserve"> </w:t>
      </w:r>
    </w:p>
    <w:p w14:paraId="B3000000">
      <w:pPr>
        <w:pStyle w:val="Style_2"/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Крапивинского муниципального округа</w:t>
      </w:r>
    </w:p>
    <w:p w14:paraId="B4000000">
      <w:pPr>
        <w:pStyle w:val="Style_2"/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оценке налоговых расходов</w:t>
      </w:r>
    </w:p>
    <w:p w14:paraId="B5000000">
      <w:pPr>
        <w:pStyle w:val="Style_2"/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Крапивинского муниципального округа</w:t>
      </w:r>
    </w:p>
    <w:p w14:paraId="B6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B7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B8000000">
      <w:pPr>
        <w:pStyle w:val="Style_3"/>
        <w:widowControl w:val="1"/>
        <w:ind/>
        <w:jc w:val="center"/>
        <w:rPr>
          <w:rFonts w:ascii="Times New Roman" w:hAnsi="Times New Roman"/>
          <w:sz w:val="24"/>
        </w:rPr>
      </w:pPr>
      <w:bookmarkStart w:id="2" w:name="P202"/>
      <w:bookmarkEnd w:id="2"/>
      <w:r>
        <w:rPr>
          <w:rFonts w:ascii="Times New Roman" w:hAnsi="Times New Roman"/>
          <w:sz w:val="24"/>
        </w:rPr>
        <w:t>Перечень</w:t>
      </w:r>
    </w:p>
    <w:p w14:paraId="B9000000">
      <w:pPr>
        <w:pStyle w:val="Style_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показателей для проведения оценки налоговых расходов</w:t>
      </w:r>
    </w:p>
    <w:p w14:paraId="BA000000">
      <w:pPr>
        <w:pStyle w:val="Style_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Крапивинского муниципального округа </w:t>
      </w:r>
    </w:p>
    <w:p w14:paraId="BB000000">
      <w:pPr>
        <w:pStyle w:val="Style_3"/>
        <w:widowControl w:val="1"/>
        <w:ind/>
        <w:jc w:val="center"/>
        <w:rPr>
          <w:rFonts w:ascii="Times New Roman" w:hAnsi="Times New Roman"/>
          <w:sz w:val="24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54"/>
        <w:gridCol w:w="5896"/>
        <w:gridCol w:w="91"/>
        <w:gridCol w:w="3544"/>
      </w:tblGrid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3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данных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9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pStyle w:val="Style_2"/>
              <w:widowControl w:val="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I. Нормативные характеристики налогового расхода Крапивинского муниципального округа 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Нормативный правовой акт Крапивинского муниципального округа, устанавливающий налоговые льготы, освобождения и иные преференции по налогам</w:t>
            </w:r>
          </w:p>
        </w:tc>
        <w:tc>
          <w:tcPr>
            <w:tcW w:type="dxa" w:w="3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</w:t>
            </w:r>
          </w:p>
          <w:p w14:paraId="C6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полномоченного</w:t>
            </w:r>
          </w:p>
          <w:p w14:paraId="C7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Условия предоставления налоговых льгот, освобождений и иных преференций, установленных </w:t>
            </w:r>
            <w:r>
              <w:rPr>
                <w:rFonts w:ascii="Times New Roman" w:hAnsi="Times New Roman"/>
                <w:sz w:val="24"/>
              </w:rPr>
              <w:t>нормативными правовыми актами</w:t>
            </w:r>
            <w:r>
              <w:rPr>
                <w:rFonts w:ascii="Times New Roman" w:hAnsi="Times New Roman"/>
                <w:sz w:val="24"/>
              </w:rPr>
              <w:t xml:space="preserve"> Крапивинского муниципального округа  </w:t>
            </w:r>
          </w:p>
        </w:tc>
        <w:tc>
          <w:tcPr>
            <w:tcW w:type="dxa" w:w="3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</w:t>
            </w:r>
          </w:p>
          <w:p w14:paraId="CB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полномоченного</w:t>
            </w:r>
          </w:p>
          <w:p w14:paraId="CC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</w:t>
            </w:r>
            <w:r>
              <w:rPr>
                <w:rFonts w:ascii="Times New Roman" w:hAnsi="Times New Roman"/>
                <w:sz w:val="24"/>
              </w:rPr>
              <w:t>нормативными правовыми актами</w:t>
            </w:r>
            <w:r>
              <w:rPr>
                <w:rFonts w:ascii="Times New Roman" w:hAnsi="Times New Roman"/>
                <w:sz w:val="24"/>
              </w:rPr>
              <w:t xml:space="preserve"> Крапивинского муниципального округа</w:t>
            </w:r>
          </w:p>
        </w:tc>
        <w:tc>
          <w:tcPr>
            <w:tcW w:type="dxa" w:w="3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</w:t>
            </w:r>
          </w:p>
          <w:p w14:paraId="D0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полномоченного</w:t>
            </w:r>
          </w:p>
          <w:p w14:paraId="D1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вступления в силу положений </w:t>
            </w:r>
            <w:r>
              <w:rPr>
                <w:rFonts w:ascii="Times New Roman" w:hAnsi="Times New Roman"/>
                <w:sz w:val="24"/>
              </w:rPr>
              <w:t>нормативных правовых актов</w:t>
            </w:r>
            <w:r>
              <w:rPr>
                <w:rFonts w:ascii="Times New Roman" w:hAnsi="Times New Roman"/>
                <w:sz w:val="24"/>
              </w:rPr>
              <w:t xml:space="preserve"> Крапивинского муниципального округа, устанавливающих налоговые льготы, освобождения и иные преференции по налогам</w:t>
            </w:r>
          </w:p>
        </w:tc>
        <w:tc>
          <w:tcPr>
            <w:tcW w:type="dxa" w:w="3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</w:t>
            </w:r>
          </w:p>
          <w:p w14:paraId="D5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полномоченного</w:t>
            </w:r>
          </w:p>
          <w:p w14:paraId="D6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начала </w:t>
            </w:r>
            <w:r>
              <w:rPr>
                <w:rFonts w:ascii="Times New Roman" w:hAnsi="Times New Roman"/>
                <w:sz w:val="24"/>
              </w:rPr>
              <w:t>действия</w:t>
            </w:r>
            <w:r>
              <w:rPr>
                <w:rFonts w:ascii="Times New Roman" w:hAnsi="Times New Roman"/>
                <w:sz w:val="24"/>
              </w:rPr>
              <w:t xml:space="preserve"> предоставленного </w:t>
            </w:r>
            <w:r>
              <w:rPr>
                <w:rFonts w:ascii="Times New Roman" w:hAnsi="Times New Roman"/>
                <w:sz w:val="24"/>
              </w:rPr>
              <w:t>нормативными правовыми актами</w:t>
            </w:r>
            <w:r>
              <w:rPr>
                <w:rFonts w:ascii="Times New Roman" w:hAnsi="Times New Roman"/>
                <w:sz w:val="24"/>
              </w:rPr>
              <w:t xml:space="preserve"> Крапивинского муниципального округа права на налоговые льготы, освобождения и иные преференции по налогам</w:t>
            </w:r>
          </w:p>
        </w:tc>
        <w:tc>
          <w:tcPr>
            <w:tcW w:type="dxa" w:w="3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</w:t>
            </w:r>
          </w:p>
          <w:p w14:paraId="DA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полномоченного</w:t>
            </w:r>
          </w:p>
          <w:p w14:paraId="DB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Период действия налоговых льгот, освобождений и иных преференций по налогам, предоставленных </w:t>
            </w:r>
            <w:r>
              <w:rPr>
                <w:rFonts w:ascii="Times New Roman" w:hAnsi="Times New Roman"/>
                <w:sz w:val="24"/>
              </w:rPr>
              <w:t>нормативными правовыми актами</w:t>
            </w:r>
            <w:r>
              <w:rPr>
                <w:rFonts w:ascii="Times New Roman" w:hAnsi="Times New Roman"/>
                <w:sz w:val="24"/>
              </w:rPr>
              <w:t xml:space="preserve"> Крапивинского муниципального округа</w:t>
            </w:r>
          </w:p>
        </w:tc>
        <w:tc>
          <w:tcPr>
            <w:tcW w:type="dxa" w:w="3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</w:t>
            </w:r>
          </w:p>
          <w:p w14:paraId="DF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полномоченного</w:t>
            </w:r>
          </w:p>
          <w:p w14:paraId="E0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прекращения действия налоговых льгот, освобождений и иных преференций по налогам, установленная </w:t>
            </w:r>
            <w:r>
              <w:rPr>
                <w:rFonts w:ascii="Times New Roman" w:hAnsi="Times New Roman"/>
                <w:sz w:val="24"/>
              </w:rPr>
              <w:t>нормативными правовыми актами</w:t>
            </w:r>
            <w:r>
              <w:rPr>
                <w:rFonts w:ascii="Times New Roman" w:hAnsi="Times New Roman"/>
                <w:sz w:val="24"/>
              </w:rPr>
              <w:t xml:space="preserve"> Крапивинского муниципального округа </w:t>
            </w:r>
          </w:p>
        </w:tc>
        <w:tc>
          <w:tcPr>
            <w:tcW w:type="dxa" w:w="3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</w:t>
            </w:r>
          </w:p>
          <w:p w14:paraId="E4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полномоченного</w:t>
            </w:r>
          </w:p>
          <w:p w14:paraId="E5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</w:t>
            </w:r>
          </w:p>
        </w:tc>
      </w:tr>
      <w:tr>
        <w:tc>
          <w:tcPr>
            <w:tcW w:type="dxa" w:w="9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pStyle w:val="Style_2"/>
              <w:widowControl w:val="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II. Целевые характеристики налогового расхода  Крапивинского муниципального округа 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59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</w:t>
            </w:r>
          </w:p>
          <w:p w14:paraId="EA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полномоченного</w:t>
            </w:r>
          </w:p>
          <w:p w14:paraId="EB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</w:t>
            </w:r>
          </w:p>
        </w:tc>
      </w:tr>
      <w:tr>
        <w:trPr>
          <w:trHeight w:hRule="atLeast" w:val="900"/>
        </w:trP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59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Целевая категория налогового расхода Крапивинского муниципального округа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</w:t>
            </w:r>
          </w:p>
          <w:p w14:paraId="EF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полномоченного</w:t>
            </w:r>
          </w:p>
          <w:p w14:paraId="F000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</w:t>
            </w:r>
          </w:p>
        </w:tc>
      </w:tr>
      <w:tr>
        <w:trPr>
          <w:trHeight w:hRule="atLeast" w:val="880"/>
        </w:trP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59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</w:t>
            </w:r>
            <w:r>
              <w:rPr>
                <w:rFonts w:ascii="Times New Roman" w:hAnsi="Times New Roman"/>
                <w:sz w:val="24"/>
              </w:rPr>
              <w:t>нормативными правовыми актами</w:t>
            </w:r>
            <w:r>
              <w:rPr>
                <w:rFonts w:ascii="Times New Roman" w:hAnsi="Times New Roman"/>
                <w:sz w:val="24"/>
              </w:rPr>
              <w:t xml:space="preserve"> Крапивинского муниципального округа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</w:t>
            </w:r>
          </w:p>
          <w:p w14:paraId="F4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полномоченного</w:t>
            </w:r>
          </w:p>
          <w:p w14:paraId="F500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</w:t>
            </w:r>
          </w:p>
        </w:tc>
      </w:tr>
      <w:tr>
        <w:trPr>
          <w:trHeight w:hRule="atLeast" w:val="825"/>
        </w:trP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59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</w:t>
            </w:r>
            <w:r>
              <w:rPr>
                <w:rFonts w:ascii="Times New Roman" w:hAnsi="Times New Roman"/>
                <w:sz w:val="24"/>
              </w:rPr>
              <w:t>нормативными правовыми актами</w:t>
            </w:r>
            <w:r>
              <w:rPr>
                <w:rFonts w:ascii="Times New Roman" w:hAnsi="Times New Roman"/>
                <w:sz w:val="24"/>
              </w:rPr>
              <w:t xml:space="preserve"> Крапивинского муниципального округа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</w:t>
            </w:r>
          </w:p>
          <w:p w14:paraId="F9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полномоченного</w:t>
            </w:r>
          </w:p>
          <w:p w14:paraId="FA00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59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</w:t>
            </w:r>
          </w:p>
          <w:p w14:paraId="FE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полномоченного</w:t>
            </w:r>
          </w:p>
          <w:p w14:paraId="FF00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</w:t>
            </w:r>
          </w:p>
        </w:tc>
      </w:tr>
      <w:tr>
        <w:trPr>
          <w:trHeight w:hRule="atLeast" w:val="940"/>
        </w:trP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59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</w:t>
            </w:r>
          </w:p>
          <w:p w14:paraId="03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полномоченного</w:t>
            </w:r>
          </w:p>
          <w:p w14:paraId="0401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59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(индикатор) достижения целей муниципальных программ Крапивинского муниципального округа и (или) целей социально-экономической политики Крапивинского муниципального округа, не относящихся к муниципальным программам Крапивинского муниципального округа,  в связи с предоставлением налоговых льгот, освобождений и иных преференций по налогам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 xml:space="preserve">анные </w:t>
            </w:r>
            <w:r>
              <w:rPr>
                <w:rFonts w:ascii="Times New Roman" w:hAnsi="Times New Roman"/>
                <w:sz w:val="24"/>
              </w:rPr>
              <w:t>куратор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налогового расхода</w:t>
            </w:r>
            <w:r>
              <w:rPr>
                <w:rFonts w:ascii="Times New Roman" w:hAnsi="Times New Roman"/>
                <w:sz w:val="24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59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вида экономической деятельности (по общероссийскому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"consultantplus://offline/ref=47F83282E5E062BD95096ACADBCC68CD47B754288AE0D743389AB176F6BE1C6B1B7DB2042F496E52B511B26CEFm521G"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классификатору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видов экономической деятельности), к которому относится налоговый расход Крапивинского муниципального округа (если налоговый расход Крапивинского муниципального округа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</w:t>
            </w:r>
          </w:p>
          <w:p w14:paraId="0B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полномоченного</w:t>
            </w:r>
          </w:p>
          <w:p w14:paraId="0C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0D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куратора налогового расхода Крапивинского муниципального округа</w:t>
            </w:r>
          </w:p>
        </w:tc>
      </w:tr>
      <w:tr>
        <w:tc>
          <w:tcPr>
            <w:tcW w:type="dxa" w:w="9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III. Фискальные характеристики налогового расхода Крапивинского муниципального округа 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налоговых льгот, освобождений и иных преференций, предоставленных плательщикам налогов в соответствии с </w:t>
            </w:r>
            <w:r>
              <w:rPr>
                <w:rFonts w:ascii="Times New Roman" w:hAnsi="Times New Roman"/>
                <w:sz w:val="24"/>
              </w:rPr>
              <w:t>нормативными правовыми актами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Крапивинского муниципального округа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за отчетный год и за год, предшествующий отчетному году, тыс. рублей</w:t>
            </w:r>
          </w:p>
        </w:tc>
        <w:tc>
          <w:tcPr>
            <w:tcW w:type="dxa" w:w="3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территориального налогового органа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период, тыс. рублей</w:t>
            </w:r>
          </w:p>
        </w:tc>
        <w:tc>
          <w:tcPr>
            <w:tcW w:type="dxa" w:w="3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куратора налогового расхода </w:t>
            </w:r>
            <w:r>
              <w:rPr>
                <w:rFonts w:ascii="Times New Roman" w:hAnsi="Times New Roman"/>
                <w:sz w:val="24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плательщиков налогов, воспользовавшихся налоговой льготой, освобождением и иной преференцией, установленны</w:t>
            </w:r>
            <w:r>
              <w:rPr>
                <w:rFonts w:ascii="Times New Roman" w:hAnsi="Times New Roman"/>
                <w:sz w:val="24"/>
              </w:rPr>
              <w:t>ми нормативными правовыми актами</w:t>
            </w:r>
            <w:r>
              <w:rPr>
                <w:rFonts w:ascii="Times New Roman" w:hAnsi="Times New Roman"/>
                <w:sz w:val="24"/>
              </w:rPr>
              <w:t xml:space="preserve"> Крапивинского муниципального округа, единиц</w:t>
            </w:r>
          </w:p>
        </w:tc>
        <w:tc>
          <w:tcPr>
            <w:tcW w:type="dxa" w:w="3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территориального налогового органа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Базовый объем налогов, задекларированный для уплаты в бюджет Крапивинского муниципального округа плательщиками налогов, имеющими право на налоговые льготы, освобождения и иные преференции, установленные нормативными правовыми актами Крапивинского муниципального округа, тыс. рублей</w:t>
            </w:r>
          </w:p>
        </w:tc>
        <w:tc>
          <w:tcPr>
            <w:tcW w:type="dxa" w:w="3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территориального налогового органа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налогов, задекларированный для уплаты в бюджет Крапивинского муниципального округа плательщиками налогов, имеющими право на налоговые льготы, освобождения и иные преференции, за шесть лет, предшествующих отчетному финансовому году, тыс. рублей</w:t>
            </w:r>
          </w:p>
        </w:tc>
        <w:tc>
          <w:tcPr>
            <w:tcW w:type="dxa" w:w="3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территориального налогового органа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оценки эффективности налогового расхода Крапивинского муниципального округа </w:t>
            </w:r>
          </w:p>
        </w:tc>
        <w:tc>
          <w:tcPr>
            <w:tcW w:type="dxa" w:w="3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куратора налогового расхода Крапивинского муниципального округа</w:t>
            </w:r>
          </w:p>
        </w:tc>
      </w:tr>
    </w:tbl>
    <w:p w14:paraId="21010000">
      <w:pPr>
        <w:pStyle w:val="Style_2"/>
        <w:rPr>
          <w:rFonts w:ascii="Times New Roman" w:hAnsi="Times New Roman"/>
          <w:sz w:val="24"/>
        </w:rPr>
      </w:pPr>
    </w:p>
    <w:p w14:paraId="2201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3010000">
      <w:pPr>
        <w:sectPr>
          <w:headerReference r:id="rId5" w:type="default"/>
          <w:headerReference r:id="rId3" w:type="first"/>
          <w:pgSz w:h="16838" w:orient="portrait" w:w="11906"/>
          <w:pgMar w:bottom="851" w:footer="709" w:gutter="0" w:header="709" w:left="1418" w:right="851" w:top="1134"/>
          <w:titlePg/>
        </w:sectPr>
      </w:pPr>
    </w:p>
    <w:p w14:paraId="24010000">
      <w:pPr>
        <w:pStyle w:val="Style_2"/>
        <w:widowControl w:val="1"/>
        <w:ind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N </w:t>
      </w:r>
      <w:r>
        <w:rPr>
          <w:rFonts w:ascii="Times New Roman" w:hAnsi="Times New Roman"/>
          <w:sz w:val="24"/>
        </w:rPr>
        <w:t>3</w:t>
      </w:r>
    </w:p>
    <w:p w14:paraId="25010000">
      <w:pPr>
        <w:pStyle w:val="Style_2"/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</w:t>
      </w:r>
      <w:r>
        <w:rPr>
          <w:rFonts w:ascii="Times New Roman" w:hAnsi="Times New Roman"/>
          <w:sz w:val="24"/>
        </w:rPr>
        <w:t>ложению о</w:t>
      </w:r>
      <w:r>
        <w:rPr>
          <w:rFonts w:ascii="Times New Roman" w:hAnsi="Times New Roman"/>
          <w:sz w:val="24"/>
        </w:rPr>
        <w:t xml:space="preserve"> формировани</w:t>
      </w:r>
      <w:r>
        <w:rPr>
          <w:rFonts w:ascii="Times New Roman" w:hAnsi="Times New Roman"/>
          <w:sz w:val="24"/>
        </w:rPr>
        <w:t>и</w:t>
      </w:r>
    </w:p>
    <w:p w14:paraId="26010000">
      <w:pPr>
        <w:pStyle w:val="Style_2"/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перечня налоговых расходов</w:t>
      </w:r>
    </w:p>
    <w:p w14:paraId="27010000">
      <w:pPr>
        <w:pStyle w:val="Style_2"/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Крапивинского муниципального округа</w:t>
      </w:r>
    </w:p>
    <w:p w14:paraId="28010000">
      <w:pPr>
        <w:pStyle w:val="Style_2"/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оценке налоговых расходов</w:t>
      </w:r>
    </w:p>
    <w:p w14:paraId="29010000">
      <w:pPr>
        <w:pStyle w:val="Style_2"/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Крапивинского муниципального округа</w:t>
      </w:r>
    </w:p>
    <w:p w14:paraId="2A01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B010000">
      <w:pPr>
        <w:pStyle w:val="Style_2"/>
        <w:widowControl w:val="1"/>
        <w:ind/>
        <w:jc w:val="center"/>
        <w:rPr>
          <w:rFonts w:ascii="Times New Roman" w:hAnsi="Times New Roman"/>
          <w:b w:val="1"/>
          <w:sz w:val="28"/>
        </w:rPr>
      </w:pPr>
      <w:bookmarkStart w:id="3" w:name="P296"/>
      <w:bookmarkEnd w:id="3"/>
      <w:r>
        <w:rPr>
          <w:rFonts w:ascii="Times New Roman" w:hAnsi="Times New Roman"/>
          <w:b w:val="1"/>
          <w:sz w:val="28"/>
        </w:rPr>
        <w:t>Результаты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оценки налоговых расходов Крапивинского муниципального округа </w:t>
      </w:r>
      <w:r>
        <w:rPr>
          <w:rFonts w:ascii="Times New Roman" w:hAnsi="Times New Roman"/>
          <w:b w:val="1"/>
          <w:sz w:val="28"/>
        </w:rPr>
        <w:t xml:space="preserve"> за__________________________ год</w:t>
      </w:r>
    </w:p>
    <w:p w14:paraId="2C010000">
      <w:pPr>
        <w:pStyle w:val="Style_2"/>
        <w:widowControl w:val="1"/>
        <w:ind/>
        <w:jc w:val="both"/>
        <w:rPr>
          <w:rFonts w:ascii="Times New Roman" w:hAnsi="Times New Roman"/>
          <w:b w:val="1"/>
          <w:sz w:val="28"/>
        </w:rPr>
      </w:pPr>
    </w:p>
    <w:p w14:paraId="2D010000">
      <w:pPr>
        <w:pStyle w:val="Style_2"/>
        <w:widowControl w:val="1"/>
        <w:ind/>
        <w:jc w:val="both"/>
      </w:pPr>
    </w:p>
    <w:tbl>
      <w:tblPr>
        <w:tblStyle w:val="Style_4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614"/>
        <w:gridCol w:w="1247"/>
        <w:gridCol w:w="3714"/>
        <w:gridCol w:w="2126"/>
        <w:gridCol w:w="5245"/>
      </w:tblGrid>
      <w:tr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Куратор налогового расхода</w:t>
            </w:r>
          </w:p>
        </w:tc>
        <w:tc>
          <w:tcPr>
            <w:tcW w:type="dxa" w:w="49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наименование налогового расхода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налога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об эффективности налогового расхода (группы расходов) </w:t>
            </w:r>
            <w:r>
              <w:rPr>
                <w:rFonts w:ascii="Times New Roman" w:hAnsi="Times New Roman"/>
                <w:sz w:val="24"/>
              </w:rPr>
              <w:t>Крапивинского муниципального округа</w:t>
            </w:r>
          </w:p>
        </w:tc>
      </w:tr>
      <w:tr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Нормативный правовой акт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Структурная единица НПА</w:t>
            </w:r>
          </w:p>
        </w:tc>
        <w:tc>
          <w:tcPr>
            <w:tcW w:type="dxa" w:w="3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категория плательщиков налогов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налоговой льготы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Предложения по сохранению (отмене, изменении) налоговых расходов </w:t>
            </w:r>
            <w:r>
              <w:rPr>
                <w:rFonts w:ascii="Times New Roman" w:hAnsi="Times New Roman"/>
                <w:sz w:val="24"/>
              </w:rPr>
              <w:t>Крапивинского муниципального округа</w:t>
            </w:r>
          </w:p>
        </w:tc>
      </w:tr>
      <w:tr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</w:tbl>
    <w:p w14:paraId="4001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tbl>
      <w:tblPr>
        <w:tblStyle w:val="Style_4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614"/>
        <w:gridCol w:w="1247"/>
        <w:gridCol w:w="2580"/>
        <w:gridCol w:w="3260"/>
        <w:gridCol w:w="5245"/>
      </w:tblGrid>
      <w:tr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налоговой льготы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  <w:r>
              <w:rPr>
                <w:rFonts w:ascii="Times New Roman" w:hAnsi="Times New Roman"/>
                <w:sz w:val="24"/>
              </w:rPr>
              <w:t>программа</w:t>
            </w: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(задача) </w:t>
            </w:r>
            <w:r>
              <w:rPr>
                <w:rFonts w:ascii="Times New Roman" w:hAnsi="Times New Roman"/>
                <w:sz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</w:rPr>
              <w:t>программы или социально-экономической политики</w:t>
            </w:r>
          </w:p>
        </w:tc>
        <w:tc>
          <w:tcPr>
            <w:tcW w:type="dxa" w:w="52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 соответствии налогового расхода (группы расходов) целям </w:t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ных программ </w:t>
            </w:r>
            <w:r>
              <w:rPr>
                <w:rFonts w:ascii="Times New Roman" w:hAnsi="Times New Roman"/>
                <w:sz w:val="24"/>
              </w:rPr>
              <w:t>Крапивинского муниципального округа</w:t>
            </w:r>
            <w:r>
              <w:rPr>
                <w:rFonts w:ascii="Times New Roman" w:hAnsi="Times New Roman"/>
                <w:sz w:val="24"/>
              </w:rPr>
              <w:t xml:space="preserve">, и (или) целям социально-экономической политики </w:t>
            </w:r>
            <w:r>
              <w:rPr>
                <w:rFonts w:ascii="Times New Roman" w:hAnsi="Times New Roman"/>
                <w:sz w:val="24"/>
              </w:rPr>
              <w:t>Крапивинского муниципального округа</w:t>
            </w:r>
          </w:p>
        </w:tc>
      </w:tr>
      <w:tr>
        <w:trPr>
          <w:trHeight w:hRule="atLeast" w:val="276"/>
        </w:trPr>
        <w:tc>
          <w:tcPr>
            <w:tcW w:type="dxa" w:w="26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5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</w:tbl>
    <w:p w14:paraId="4B01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tbl>
      <w:tblPr>
        <w:tblStyle w:val="Style_4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701"/>
        <w:gridCol w:w="5336"/>
      </w:tblGrid>
      <w:tr>
        <w:tc>
          <w:tcPr>
            <w:tcW w:type="dxa" w:w="970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36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__ из ___</w:t>
            </w:r>
          </w:p>
        </w:tc>
      </w:tr>
    </w:tbl>
    <w:p w14:paraId="4E01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tbl>
      <w:tblPr>
        <w:tblStyle w:val="Style_4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181"/>
        <w:gridCol w:w="1134"/>
        <w:gridCol w:w="1276"/>
        <w:gridCol w:w="1134"/>
        <w:gridCol w:w="992"/>
        <w:gridCol w:w="992"/>
        <w:gridCol w:w="1276"/>
        <w:gridCol w:w="5103"/>
      </w:tblGrid>
      <w:tr>
        <w:tc>
          <w:tcPr>
            <w:tcW w:type="dxa" w:w="3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n - 5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n - 4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n - 3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n - 2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n - 1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 за который проводится оценка (n)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Вывод о востребованности налоговой льготы</w:t>
            </w:r>
          </w:p>
        </w:tc>
      </w:tr>
      <w:tr>
        <w:tc>
          <w:tcPr>
            <w:tcW w:type="dxa" w:w="3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плательщиков, воспользовавшихся правом на льготы, единиц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число плательщиков, единиц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</w:tbl>
    <w:p w14:paraId="6601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tbl>
      <w:tblPr>
        <w:tblStyle w:val="Style_4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330"/>
        <w:gridCol w:w="1701"/>
        <w:gridCol w:w="1843"/>
        <w:gridCol w:w="1842"/>
        <w:gridCol w:w="2268"/>
        <w:gridCol w:w="5104"/>
      </w:tblGrid>
      <w:tr>
        <w:tc>
          <w:tcPr>
            <w:tcW w:type="dxa" w:w="2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  <w:r>
              <w:rPr>
                <w:rFonts w:ascii="Times New Roman" w:hAnsi="Times New Roman"/>
                <w:sz w:val="24"/>
                <w:vertAlign w:val="subscript"/>
              </w:rPr>
              <w:t>факт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  <w:r>
              <w:rPr>
                <w:rFonts w:ascii="Times New Roman" w:hAnsi="Times New Roman"/>
                <w:sz w:val="24"/>
                <w:vertAlign w:val="subscript"/>
              </w:rPr>
              <w:t>контр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>
                  <wp:extent cx="171450" cy="333375"/>
                  <wp:effectExtent b="0" l="0" r="0" t="0"/>
                  <wp:docPr hidden="false" id="3" name="Picture 3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1450" cy="3333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1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 вкладе налоговых льгот в достижение целей </w:t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программы </w:t>
            </w:r>
            <w:r>
              <w:rPr>
                <w:rFonts w:ascii="Times New Roman" w:hAnsi="Times New Roman"/>
                <w:sz w:val="24"/>
              </w:rPr>
              <w:t>Крапивинского муниципального округа</w:t>
            </w:r>
            <w:r>
              <w:rPr>
                <w:rFonts w:ascii="Times New Roman" w:hAnsi="Times New Roman"/>
                <w:sz w:val="24"/>
              </w:rPr>
              <w:t xml:space="preserve"> и (или) целей социально-экономической политики, не относящихся к </w:t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ным программам </w:t>
            </w:r>
            <w:r>
              <w:rPr>
                <w:rFonts w:ascii="Times New Roman" w:hAnsi="Times New Roman"/>
                <w:sz w:val="24"/>
              </w:rPr>
              <w:t>Крапивинского муниципального округа</w:t>
            </w:r>
          </w:p>
        </w:tc>
      </w:tr>
      <w:tr>
        <w:tc>
          <w:tcPr>
            <w:tcW w:type="dxa" w:w="2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998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 оценки </w:t>
            </w:r>
            <w:r>
              <w:rPr>
                <w:rFonts w:ascii="Times New Roman" w:hAnsi="Times New Roman"/>
                <w:sz w:val="24"/>
              </w:rPr>
              <w:t>D</w:t>
            </w:r>
            <w:r>
              <w:rPr>
                <w:rFonts w:ascii="Times New Roman" w:hAnsi="Times New Roman"/>
                <w:sz w:val="24"/>
                <w:vertAlign w:val="subscript"/>
              </w:rPr>
              <w:t>контр</w:t>
            </w:r>
          </w:p>
        </w:tc>
        <w:tc>
          <w:tcPr>
            <w:tcW w:type="dxa" w:w="5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atLeast" w:val="276"/>
        </w:trPr>
        <w:tc>
          <w:tcPr>
            <w:tcW w:type="dxa" w:w="9984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atLeast" w:val="276"/>
        </w:trPr>
        <w:tc>
          <w:tcPr>
            <w:tcW w:type="dxa" w:w="9984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1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98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Эффективна ли льгота по сравнению с альтернативными методами </w:t>
            </w:r>
            <w:r>
              <w:rPr>
                <w:rFonts w:ascii="Times New Roman" w:hAnsi="Times New Roman"/>
                <w:sz w:val="24"/>
              </w:rPr>
              <w:t>госпо</w:t>
            </w:r>
            <w:r>
              <w:rPr>
                <w:rFonts w:ascii="Times New Roman" w:hAnsi="Times New Roman"/>
                <w:sz w:val="24"/>
              </w:rPr>
              <w:t>ддержки, а именно</w:t>
            </w:r>
          </w:p>
        </w:tc>
        <w:tc>
          <w:tcPr>
            <w:tcW w:type="dxa" w:w="5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субсидиями</w:t>
            </w: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муниципальными</w:t>
            </w:r>
            <w:r>
              <w:rPr>
                <w:rFonts w:ascii="Times New Roman" w:hAnsi="Times New Roman"/>
                <w:sz w:val="24"/>
              </w:rPr>
              <w:t xml:space="preserve"> гарантиями</w:t>
            </w: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совершенствованием нормативно-правового регулирования</w:t>
            </w:r>
          </w:p>
        </w:tc>
        <w:tc>
          <w:tcPr>
            <w:tcW w:type="dxa" w:w="5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</w:tbl>
    <w:p w14:paraId="7C01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tbl>
      <w:tblPr>
        <w:tblStyle w:val="Style_4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985"/>
        <w:gridCol w:w="5103"/>
      </w:tblGrid>
      <w:tr>
        <w:tc>
          <w:tcPr>
            <w:tcW w:type="dxa" w:w="998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__ из ___</w:t>
            </w:r>
          </w:p>
        </w:tc>
      </w:tr>
    </w:tbl>
    <w:p w14:paraId="7F01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headerReference r:id="rId6" w:type="first"/>
      <w:pgSz w:h="11906" w:orient="landscape" w:w="16838"/>
      <w:pgMar w:bottom="426" w:footer="709" w:gutter="0" w:header="709" w:left="851" w:right="1134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widowControl w:val="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  <w:widowControl w:val="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  <w:widowControl w:val="1"/>
      <w:tabs>
        <w:tab w:leader="none" w:pos="4365" w:val="left"/>
        <w:tab w:leader="none" w:pos="4677" w:val="clear"/>
        <w:tab w:leader="none" w:pos="9355" w:val="clear"/>
      </w:tabs>
      <w:ind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8000000">
    <w:pPr>
      <w:pStyle w:val="Style_1"/>
      <w:widowControl w:val="1"/>
      <w:tabs>
        <w:tab w:leader="none" w:pos="4365" w:val="left"/>
        <w:tab w:leader="none" w:pos="4677" w:val="clear"/>
        <w:tab w:leader="none" w:pos="9355" w:val="clear"/>
      </w:tabs>
      <w:ind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A000000">
    <w:pPr>
      <w:pStyle w:val="Style_1"/>
      <w:widowControl w:val="1"/>
      <w:ind/>
      <w:jc w:val="center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C000000">
    <w:pPr>
      <w:pStyle w:val="Style_1"/>
      <w:widowControl w:val="1"/>
      <w:tabs>
        <w:tab w:leader="none" w:pos="4365" w:val="left"/>
        <w:tab w:leader="none" w:pos="4677" w:val="clear"/>
        <w:tab w:leader="none" w:pos="9355" w:val="clear"/>
      </w:tabs>
      <w:ind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E000000">
    <w:pPr>
      <w:pStyle w:val="Style_1"/>
      <w:widowControl w:val="1"/>
      <w:tabs>
        <w:tab w:leader="none" w:pos="4365" w:val="left"/>
        <w:tab w:leader="none" w:pos="4677" w:val="clear"/>
        <w:tab w:leader="none" w:pos="9355" w:val="clear"/>
      </w:tabs>
      <w:ind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0000000">
    <w:pPr>
      <w:pStyle w:val="Style_1"/>
      <w:widowControl w:val="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ind w:firstLine="567"/>
      <w:jc w:val="both"/>
    </w:pPr>
    <w:rPr>
      <w:rFonts w:ascii="Arial" w:hAnsi="Arial"/>
      <w:sz w:val="24"/>
    </w:rPr>
  </w:style>
  <w:style w:default="1" w:styleId="Style_5_ch" w:type="character">
    <w:name w:val="Normal"/>
    <w:link w:val="Style_5"/>
    <w:rPr>
      <w:rFonts w:ascii="Arial" w:hAnsi="Arial"/>
      <w:sz w:val="24"/>
    </w:rPr>
  </w:style>
  <w:style w:styleId="Style_6" w:type="paragraph">
    <w:name w:val="HTML Variable"/>
    <w:basedOn w:val="Style_7"/>
    <w:link w:val="Style_6_ch"/>
    <w:rPr>
      <w:rFonts w:ascii="Arial" w:hAnsi="Arial"/>
      <w:b w:val="0"/>
      <w:i w:val="0"/>
      <w:color w:val="0000FF"/>
      <w:sz w:val="24"/>
      <w:u w:val="none"/>
    </w:rPr>
  </w:style>
  <w:style w:styleId="Style_6_ch" w:type="character">
    <w:name w:val="HTML Variable"/>
    <w:basedOn w:val="Style_7_ch"/>
    <w:link w:val="Style_6"/>
    <w:rPr>
      <w:rFonts w:ascii="Arial" w:hAnsi="Arial"/>
      <w:b w:val="0"/>
      <w:i w:val="0"/>
      <w:color w:val="0000FF"/>
      <w:sz w:val="24"/>
      <w:u w:val="none"/>
    </w:rPr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Обычный1"/>
    <w:link w:val="Style_12_ch"/>
    <w:pPr>
      <w:widowControl w:val="1"/>
      <w:spacing w:line="300" w:lineRule="auto"/>
      <w:ind/>
    </w:pPr>
    <w:rPr>
      <w:sz w:val="22"/>
    </w:rPr>
  </w:style>
  <w:style w:styleId="Style_12_ch" w:type="character">
    <w:name w:val="Обычный1"/>
    <w:link w:val="Style_12"/>
    <w:rPr>
      <w:sz w:val="22"/>
    </w:rPr>
  </w:style>
  <w:style w:styleId="Style_13" w:type="paragraph">
    <w:name w:val="NumberAndDate"/>
    <w:link w:val="Style_13_ch"/>
    <w:pPr>
      <w:widowControl w:val="1"/>
      <w:ind/>
      <w:jc w:val="center"/>
    </w:pPr>
    <w:rPr>
      <w:rFonts w:ascii="Arial" w:hAnsi="Arial"/>
      <w:sz w:val="24"/>
    </w:rPr>
  </w:style>
  <w:style w:styleId="Style_13_ch" w:type="character">
    <w:name w:val="NumberAndDate"/>
    <w:link w:val="Style_13"/>
    <w:rPr>
      <w:rFonts w:ascii="Arial" w:hAnsi="Arial"/>
      <w:sz w:val="24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basedOn w:val="Style_5"/>
    <w:link w:val="Style_15_ch"/>
    <w:uiPriority w:val="9"/>
    <w:qFormat/>
    <w:pPr>
      <w:widowControl w:val="1"/>
      <w:ind/>
      <w:outlineLvl w:val="2"/>
    </w:pPr>
    <w:rPr>
      <w:b w:val="1"/>
      <w:sz w:val="28"/>
    </w:rPr>
  </w:style>
  <w:style w:styleId="Style_15_ch" w:type="character">
    <w:name w:val="heading 3"/>
    <w:basedOn w:val="Style_5_ch"/>
    <w:link w:val="Style_15"/>
    <w:rPr>
      <w:b w:val="1"/>
      <w:sz w:val="28"/>
    </w:rPr>
  </w:style>
  <w:style w:styleId="Style_16" w:type="paragraph">
    <w:name w:val="line number"/>
    <w:basedOn w:val="Style_7"/>
    <w:link w:val="Style_16_ch"/>
  </w:style>
  <w:style w:styleId="Style_16_ch" w:type="character">
    <w:name w:val="line number"/>
    <w:basedOn w:val="Style_7_ch"/>
    <w:link w:val="Style_16"/>
  </w:style>
  <w:style w:styleId="Style_17" w:type="paragraph">
    <w:name w:val="Iau?iue"/>
    <w:link w:val="Style_17_ch"/>
  </w:style>
  <w:style w:styleId="Style_17_ch" w:type="character">
    <w:name w:val="Iau?iue"/>
    <w:link w:val="Style_17"/>
  </w:style>
  <w:style w:styleId="Style_18" w:type="paragraph">
    <w:name w:val="Title!Название НПА"/>
    <w:basedOn w:val="Style_5"/>
    <w:link w:val="Style_18_ch"/>
    <w:pPr>
      <w:widowControl w:val="1"/>
      <w:spacing w:after="60" w:before="240"/>
      <w:ind/>
      <w:jc w:val="center"/>
      <w:outlineLvl w:val="0"/>
    </w:pPr>
    <w:rPr>
      <w:b w:val="1"/>
      <w:sz w:val="32"/>
    </w:rPr>
  </w:style>
  <w:style w:styleId="Style_18_ch" w:type="character">
    <w:name w:val="Title!Название НПА"/>
    <w:basedOn w:val="Style_5_ch"/>
    <w:link w:val="Style_18"/>
    <w:rPr>
      <w:b w:val="1"/>
      <w:sz w:val="32"/>
    </w:rPr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9" w:type="paragraph">
    <w:name w:val="No Spacing"/>
    <w:link w:val="Style_19_ch"/>
    <w:pPr>
      <w:widowControl w:val="1"/>
      <w:ind w:firstLine="567"/>
      <w:jc w:val="both"/>
    </w:pPr>
    <w:rPr>
      <w:rFonts w:ascii="Arial" w:hAnsi="Arial"/>
      <w:sz w:val="24"/>
    </w:rPr>
  </w:style>
  <w:style w:styleId="Style_19_ch" w:type="character">
    <w:name w:val="No Spacing"/>
    <w:link w:val="Style_19"/>
    <w:rPr>
      <w:rFonts w:ascii="Arial" w:hAnsi="Arial"/>
      <w:sz w:val="24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3" w:type="paragraph">
    <w:name w:val="ConsPlusTitle"/>
    <w:link w:val="Style_3_ch"/>
    <w:pPr>
      <w:widowControl w:val="0"/>
      <w:ind/>
    </w:pPr>
    <w:rPr>
      <w:rFonts w:ascii="Calibri" w:hAnsi="Calibri"/>
      <w:b w:val="1"/>
      <w:sz w:val="22"/>
    </w:rPr>
  </w:style>
  <w:style w:styleId="Style_3_ch" w:type="character">
    <w:name w:val="ConsPlusTitle"/>
    <w:link w:val="Style_3"/>
    <w:rPr>
      <w:rFonts w:ascii="Calibri" w:hAnsi="Calibri"/>
      <w:b w:val="1"/>
      <w:sz w:val="22"/>
    </w:rPr>
  </w:style>
  <w:style w:styleId="Style_21" w:type="paragraph">
    <w:name w:val="toc 3"/>
    <w:next w:val="Style_5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ConsPlusNonformat"/>
    <w:link w:val="Style_22_ch"/>
    <w:pPr>
      <w:widowControl w:val="0"/>
      <w:ind/>
    </w:pPr>
    <w:rPr>
      <w:rFonts w:ascii="Courier New" w:hAnsi="Courier New"/>
    </w:rPr>
  </w:style>
  <w:style w:styleId="Style_22_ch" w:type="character">
    <w:name w:val="ConsPlusNonformat"/>
    <w:link w:val="Style_22"/>
    <w:rPr>
      <w:rFonts w:ascii="Courier New" w:hAnsi="Courier New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3" w:type="paragraph">
    <w:name w:val="Application!Приложение"/>
    <w:link w:val="Style_23_ch"/>
    <w:pPr>
      <w:widowControl w:val="1"/>
      <w:spacing w:after="120" w:before="120"/>
      <w:ind/>
      <w:jc w:val="right"/>
    </w:pPr>
    <w:rPr>
      <w:rFonts w:ascii="Arial" w:hAnsi="Arial"/>
      <w:b w:val="1"/>
      <w:sz w:val="32"/>
    </w:rPr>
  </w:style>
  <w:style w:styleId="Style_23_ch" w:type="character">
    <w:name w:val="Application!Приложение"/>
    <w:link w:val="Style_23"/>
    <w:rPr>
      <w:rFonts w:ascii="Arial" w:hAnsi="Arial"/>
      <w:b w:val="1"/>
      <w:sz w:val="32"/>
    </w:rPr>
  </w:style>
  <w:style w:styleId="Style_24" w:type="paragraph">
    <w:name w:val="Institution!Орган принятия"/>
    <w:basedOn w:val="Style_13"/>
    <w:next w:val="Style_5"/>
    <w:link w:val="Style_24_ch"/>
    <w:rPr>
      <w:sz w:val="28"/>
    </w:rPr>
  </w:style>
  <w:style w:styleId="Style_24_ch" w:type="character">
    <w:name w:val="Institution!Орган принятия"/>
    <w:basedOn w:val="Style_13_ch"/>
    <w:link w:val="Style_24"/>
    <w:rPr>
      <w:sz w:val="28"/>
    </w:rPr>
  </w:style>
  <w:style w:styleId="Style_25" w:type="paragraph">
    <w:name w:val="heading 5"/>
    <w:basedOn w:val="Style_5"/>
    <w:next w:val="Style_5"/>
    <w:link w:val="Style_25_ch"/>
    <w:uiPriority w:val="9"/>
    <w:qFormat/>
    <w:pPr>
      <w:keepNext w:val="1"/>
      <w:keepLines w:val="1"/>
      <w:widowControl w:val="1"/>
      <w:spacing w:before="200"/>
      <w:ind/>
      <w:outlineLvl w:val="4"/>
    </w:pPr>
    <w:rPr>
      <w:rFonts w:asciiTheme="majorAscii" w:hAnsiTheme="majorHAnsi"/>
      <w:color w:themeColor="accent1" w:themeShade="7F" w:val="244061"/>
    </w:rPr>
  </w:style>
  <w:style w:styleId="Style_25_ch" w:type="character">
    <w:name w:val="heading 5"/>
    <w:basedOn w:val="Style_5_ch"/>
    <w:link w:val="Style_25"/>
    <w:rPr>
      <w:rFonts w:asciiTheme="majorAscii" w:hAnsiTheme="majorHAnsi"/>
      <w:color w:themeColor="accent1" w:themeShade="7F" w:val="244061"/>
    </w:rPr>
  </w:style>
  <w:style w:styleId="Style_26" w:type="paragraph">
    <w:name w:val="heading 1"/>
    <w:basedOn w:val="Style_5"/>
    <w:next w:val="Style_5"/>
    <w:link w:val="Style_26_ch"/>
    <w:uiPriority w:val="9"/>
    <w:qFormat/>
    <w:pPr>
      <w:widowControl w:val="1"/>
      <w:ind/>
      <w:jc w:val="center"/>
      <w:outlineLvl w:val="0"/>
    </w:pPr>
    <w:rPr>
      <w:b w:val="1"/>
      <w:sz w:val="32"/>
    </w:rPr>
  </w:style>
  <w:style w:styleId="Style_26_ch" w:type="character">
    <w:name w:val="heading 1"/>
    <w:basedOn w:val="Style_5_ch"/>
    <w:link w:val="Style_26"/>
    <w:rPr>
      <w:b w:val="1"/>
      <w:sz w:val="32"/>
    </w:rPr>
  </w:style>
  <w:style w:styleId="Style_27" w:type="paragraph">
    <w:name w:val="Hyperlink"/>
    <w:basedOn w:val="Style_7"/>
    <w:link w:val="Style_27_ch"/>
    <w:rPr>
      <w:color w:val="0000FF"/>
      <w:u w:val="none"/>
    </w:rPr>
  </w:style>
  <w:style w:styleId="Style_27_ch" w:type="character">
    <w:name w:val="Hyperlink"/>
    <w:basedOn w:val="Style_7_ch"/>
    <w:link w:val="Style_27"/>
    <w:rPr>
      <w:color w:val="0000FF"/>
      <w:u w:val="non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5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31" w:type="paragraph">
    <w:name w:val="toc 9"/>
    <w:next w:val="Style_5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footer"/>
    <w:basedOn w:val="Style_5"/>
    <w:link w:val="Style_32_ch"/>
    <w:pPr>
      <w:widowControl w:val="1"/>
      <w:tabs>
        <w:tab w:leader="none" w:pos="4677" w:val="center"/>
        <w:tab w:leader="none" w:pos="9355" w:val="right"/>
      </w:tabs>
      <w:ind/>
    </w:pPr>
  </w:style>
  <w:style w:styleId="Style_32_ch" w:type="character">
    <w:name w:val="footer"/>
    <w:basedOn w:val="Style_5_ch"/>
    <w:link w:val="Style_32"/>
  </w:style>
  <w:style w:styleId="Style_33" w:type="paragraph">
    <w:name w:val="toc 8"/>
    <w:next w:val="Style_5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List Paragraph"/>
    <w:basedOn w:val="Style_5"/>
    <w:link w:val="Style_34_ch"/>
    <w:pPr>
      <w:widowControl w:val="1"/>
      <w:ind w:left="720"/>
      <w:contextualSpacing w:val="1"/>
    </w:pPr>
  </w:style>
  <w:style w:styleId="Style_34_ch" w:type="character">
    <w:name w:val="List Paragraph"/>
    <w:basedOn w:val="Style_5_ch"/>
    <w:link w:val="Style_34"/>
  </w:style>
  <w:style w:styleId="Style_35" w:type="paragraph">
    <w:name w:val="annotation text"/>
    <w:basedOn w:val="Style_5"/>
    <w:link w:val="Style_35_ch"/>
    <w:rPr>
      <w:rFonts w:ascii="Courier" w:hAnsi="Courier"/>
      <w:sz w:val="22"/>
    </w:rPr>
  </w:style>
  <w:style w:styleId="Style_35_ch" w:type="character">
    <w:name w:val="annotation text"/>
    <w:basedOn w:val="Style_5_ch"/>
    <w:link w:val="Style_35"/>
    <w:rPr>
      <w:rFonts w:ascii="Courier" w:hAnsi="Courier"/>
      <w:sz w:val="22"/>
    </w:rPr>
  </w:style>
  <w:style w:styleId="Style_36" w:type="paragraph">
    <w:name w:val="toc 5"/>
    <w:next w:val="Style_5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Subtitle"/>
    <w:basedOn w:val="Style_5"/>
    <w:link w:val="Style_37_ch"/>
    <w:uiPriority w:val="11"/>
    <w:qFormat/>
    <w:pPr>
      <w:widowControl w:val="1"/>
      <w:spacing w:before="240"/>
      <w:ind/>
      <w:jc w:val="center"/>
    </w:pPr>
    <w:rPr>
      <w:b w:val="1"/>
      <w:sz w:val="32"/>
    </w:rPr>
  </w:style>
  <w:style w:styleId="Style_37_ch" w:type="character">
    <w:name w:val="Subtitle"/>
    <w:basedOn w:val="Style_5_ch"/>
    <w:link w:val="Style_37"/>
    <w:rPr>
      <w:b w:val="1"/>
      <w:sz w:val="32"/>
    </w:rPr>
  </w:style>
  <w:style w:styleId="Style_38" w:type="paragraph">
    <w:name w:val="Table!Таблица"/>
    <w:link w:val="Style_38_ch"/>
    <w:rPr>
      <w:rFonts w:ascii="Arial" w:hAnsi="Arial"/>
      <w:sz w:val="24"/>
    </w:rPr>
  </w:style>
  <w:style w:styleId="Style_38_ch" w:type="character">
    <w:name w:val="Table!Таблица"/>
    <w:link w:val="Style_38"/>
    <w:rPr>
      <w:rFonts w:ascii="Arial" w:hAnsi="Arial"/>
      <w:sz w:val="24"/>
    </w:rPr>
  </w:style>
  <w:style w:styleId="Style_39" w:type="paragraph">
    <w:name w:val="Title"/>
    <w:basedOn w:val="Style_5"/>
    <w:link w:val="Style_39_ch"/>
    <w:uiPriority w:val="10"/>
    <w:qFormat/>
    <w:pPr>
      <w:widowControl w:val="1"/>
      <w:spacing w:before="240"/>
      <w:ind/>
      <w:jc w:val="center"/>
    </w:pPr>
    <w:rPr>
      <w:sz w:val="28"/>
    </w:rPr>
  </w:style>
  <w:style w:styleId="Style_39_ch" w:type="character">
    <w:name w:val="Title"/>
    <w:basedOn w:val="Style_5_ch"/>
    <w:link w:val="Style_39"/>
    <w:rPr>
      <w:sz w:val="28"/>
    </w:rPr>
  </w:style>
  <w:style w:styleId="Style_40" w:type="paragraph">
    <w:name w:val="heading 4"/>
    <w:basedOn w:val="Style_5"/>
    <w:link w:val="Style_40_ch"/>
    <w:uiPriority w:val="9"/>
    <w:qFormat/>
    <w:pPr>
      <w:widowControl w:val="1"/>
      <w:ind/>
      <w:outlineLvl w:val="3"/>
    </w:pPr>
    <w:rPr>
      <w:b w:val="1"/>
      <w:sz w:val="26"/>
    </w:rPr>
  </w:style>
  <w:style w:styleId="Style_40_ch" w:type="character">
    <w:name w:val="heading 4"/>
    <w:basedOn w:val="Style_5_ch"/>
    <w:link w:val="Style_40"/>
    <w:rPr>
      <w:b w:val="1"/>
      <w:sz w:val="26"/>
    </w:rPr>
  </w:style>
  <w:style w:styleId="Style_41" w:type="paragraph">
    <w:name w:val="heading 2"/>
    <w:basedOn w:val="Style_5"/>
    <w:link w:val="Style_41_ch"/>
    <w:uiPriority w:val="9"/>
    <w:qFormat/>
    <w:pPr>
      <w:widowControl w:val="1"/>
      <w:ind/>
      <w:jc w:val="center"/>
      <w:outlineLvl w:val="1"/>
    </w:pPr>
    <w:rPr>
      <w:b w:val="1"/>
      <w:sz w:val="30"/>
    </w:rPr>
  </w:style>
  <w:style w:styleId="Style_41_ch" w:type="character">
    <w:name w:val="heading 2"/>
    <w:basedOn w:val="Style_5_ch"/>
    <w:link w:val="Style_41"/>
    <w:rPr>
      <w:b w:val="1"/>
      <w:sz w:val="30"/>
    </w:rPr>
  </w:style>
  <w:style w:styleId="Style_42" w:type="paragraph">
    <w:name w:val="Table!"/>
    <w:next w:val="Style_38"/>
    <w:link w:val="Style_42_ch"/>
    <w:pPr>
      <w:widowControl w:val="1"/>
      <w:ind/>
      <w:jc w:val="center"/>
    </w:pPr>
    <w:rPr>
      <w:rFonts w:ascii="Arial" w:hAnsi="Arial"/>
      <w:b w:val="1"/>
      <w:sz w:val="24"/>
    </w:rPr>
  </w:style>
  <w:style w:styleId="Style_42_ch" w:type="character">
    <w:name w:val="Table!"/>
    <w:link w:val="Style_42"/>
    <w:rPr>
      <w:rFonts w:ascii="Arial" w:hAnsi="Arial"/>
      <w:b w:val="1"/>
      <w:sz w:val="24"/>
    </w:rPr>
  </w:style>
  <w:style w:styleId="Style_2" w:type="paragraph">
    <w:name w:val="ConsPlusNormal"/>
    <w:link w:val="Style_2_ch"/>
    <w:pPr>
      <w:widowControl w:val="0"/>
      <w:ind/>
    </w:pPr>
    <w:rPr>
      <w:rFonts w:ascii="Calibri" w:hAnsi="Calibri"/>
      <w:sz w:val="22"/>
    </w:rPr>
  </w:style>
  <w:style w:styleId="Style_2_ch" w:type="character">
    <w:name w:val="ConsPlusNormal"/>
    <w:link w:val="Style_2"/>
    <w:rPr>
      <w:rFonts w:ascii="Calibri" w:hAnsi="Calibri"/>
      <w:sz w:val="22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webSettings.xml" Type="http://schemas.openxmlformats.org/officeDocument/2006/relationships/webSettings"/>
  <Relationship Id="rId13" Target="stylesWithEffects.xml" Type="http://schemas.microsoft.com/office/2007/relationships/stylesWithEffects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styles.xml" Type="http://schemas.openxmlformats.org/officeDocument/2006/relationships/styles"/>
  <Relationship Id="rId10" Target="fontTable.xml" Type="http://schemas.openxmlformats.org/officeDocument/2006/relationships/fontTable"/>
  <Relationship Id="rId5" Target="header5.xml" Type="http://schemas.openxmlformats.org/officeDocument/2006/relationships/header"/>
  <Relationship Id="rId11" Target="settings.xml" Type="http://schemas.openxmlformats.org/officeDocument/2006/relationships/settings"/>
  <Relationship Id="rId8" Target="header8.xml" Type="http://schemas.openxmlformats.org/officeDocument/2006/relationships/header"/>
  <Relationship Id="rId2" Target="header2.xml" Type="http://schemas.openxmlformats.org/officeDocument/2006/relationships/header"/>
  <Relationship Id="rId9" Target="media/1.wmf" Type="http://schemas.openxmlformats.org/officeDocument/2006/relationships/image"/>
  <Relationship Id="rId15" Target="theme/theme1.xml" Type="http://schemas.openxmlformats.org/officeDocument/2006/relationships/them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2025-04-08T07:24:00Z</dcterms:created>
  <dcterms:modified xsi:type="dcterms:W3CDTF">2025-04-10T01:38:04Z</dcterms:modified>
</cp:coreProperties>
</file>