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Приложение</w:t>
      </w:r>
      <w:r>
        <w:rPr>
          <w:rFonts w:ascii="Times New Roman" w:hAnsi="Times New Roman"/>
          <w:color w:val="000000"/>
          <w:sz w:val="24"/>
        </w:rPr>
        <w:t xml:space="preserve"> 1</w:t>
      </w:r>
    </w:p>
    <w:p w14:paraId="02000000">
      <w:pPr>
        <w:widowControl w:val="1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 постановлению АКМО </w:t>
      </w:r>
    </w:p>
    <w:p w14:paraId="03000000">
      <w:pPr>
        <w:widowControl w:val="1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от</w:t>
      </w:r>
      <w:r>
        <w:rPr>
          <w:rFonts w:ascii="Times New Roman" w:hAnsi="Times New Roman"/>
          <w:color w:val="000000"/>
          <w:sz w:val="24"/>
        </w:rPr>
        <w:t xml:space="preserve"> 24.08.2026 </w:t>
      </w:r>
      <w:r>
        <w:rPr>
          <w:rFonts w:ascii="Times New Roman" w:hAnsi="Times New Roman"/>
          <w:color w:val="000000"/>
          <w:sz w:val="24"/>
        </w:rPr>
        <w:t>№</w:t>
      </w:r>
      <w:r>
        <w:rPr>
          <w:rFonts w:ascii="Times New Roman" w:hAnsi="Times New Roman"/>
          <w:color w:val="000000"/>
          <w:sz w:val="24"/>
        </w:rPr>
        <w:t xml:space="preserve"> 856</w:t>
      </w:r>
    </w:p>
    <w:p w14:paraId="04000000">
      <w:pPr>
        <w:widowControl w:val="1"/>
        <w:spacing w:after="0" w:line="240" w:lineRule="auto"/>
        <w:ind/>
        <w:jc w:val="right"/>
        <w:rPr>
          <w:rFonts w:ascii="Times New Roman" w:hAnsi="Times New Roman"/>
          <w:b w:val="1"/>
          <w:sz w:val="28"/>
        </w:rPr>
      </w:pPr>
    </w:p>
    <w:p w14:paraId="05000000">
      <w:pPr>
        <w:widowControl w:val="1"/>
        <w:spacing w:after="0" w:line="276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Отчет о реализации концепции развития туризма в Крапивинско</w:t>
      </w:r>
      <w:r>
        <w:rPr>
          <w:rFonts w:ascii="Times New Roman" w:hAnsi="Times New Roman"/>
          <w:b w:val="1"/>
          <w:sz w:val="28"/>
        </w:rPr>
        <w:t>м</w:t>
      </w:r>
      <w:r>
        <w:rPr>
          <w:rFonts w:ascii="Times New Roman" w:hAnsi="Times New Roman"/>
          <w:b w:val="1"/>
          <w:sz w:val="28"/>
        </w:rPr>
        <w:t xml:space="preserve"> муниципально</w:t>
      </w:r>
      <w:r>
        <w:rPr>
          <w:rFonts w:ascii="Times New Roman" w:hAnsi="Times New Roman"/>
          <w:b w:val="1"/>
          <w:sz w:val="28"/>
        </w:rPr>
        <w:t>м</w:t>
      </w:r>
      <w:r>
        <w:rPr>
          <w:rFonts w:ascii="Times New Roman" w:hAnsi="Times New Roman"/>
          <w:b w:val="1"/>
          <w:sz w:val="28"/>
        </w:rPr>
        <w:t xml:space="preserve"> округ</w:t>
      </w:r>
      <w:r>
        <w:rPr>
          <w:rFonts w:ascii="Times New Roman" w:hAnsi="Times New Roman"/>
          <w:b w:val="1"/>
          <w:sz w:val="28"/>
        </w:rPr>
        <w:t>е</w:t>
      </w:r>
      <w:r>
        <w:rPr>
          <w:rFonts w:ascii="Times New Roman" w:hAnsi="Times New Roman"/>
          <w:b w:val="1"/>
          <w:sz w:val="28"/>
        </w:rPr>
        <w:t xml:space="preserve"> за 2025 год</w:t>
      </w:r>
    </w:p>
    <w:p w14:paraId="06000000">
      <w:pPr>
        <w:widowControl w:val="1"/>
        <w:spacing w:after="0" w:line="276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7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Крапивинском муниципальном округе отсутствуют туристические агентства, туроператоры, организацией мероприятий в сфере туризма, ведением отчетности занимается Управление культуры, молодежной политики, спорта и туризма администрации Крапивинского муниципального округа. </w:t>
      </w:r>
    </w:p>
    <w:p w14:paraId="08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сегодняшний день сфера туристической составляющей муниципалитета представлена следующими направлениями:</w:t>
      </w:r>
    </w:p>
    <w:p w14:paraId="09000000">
      <w:pPr>
        <w:widowControl w:val="1"/>
        <w:spacing w:after="0" w:line="276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1. </w:t>
      </w:r>
      <w:r>
        <w:rPr>
          <w:rFonts w:ascii="Times New Roman" w:hAnsi="Times New Roman"/>
          <w:b w:val="1"/>
          <w:sz w:val="28"/>
        </w:rPr>
        <w:t>Спортивный туризм</w:t>
      </w:r>
    </w:p>
    <w:p w14:paraId="0A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Спортивный туризм - разновидность туризма для любителей активного отдыха и спорта, как профессионалов, так и любителей. Ведущим направлением развития спортивного туризма является использование существующих и вновь создаваемых объектов спортивной и спортивно-оздоровительной инфраструктуры.</w:t>
      </w:r>
    </w:p>
    <w:p w14:paraId="0B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1.1. Горнолыжный туризм.</w:t>
      </w:r>
      <w:r>
        <w:rPr>
          <w:rFonts w:ascii="Times New Roman" w:hAnsi="Times New Roman"/>
          <w:sz w:val="28"/>
        </w:rPr>
        <w:t xml:space="preserve"> В непосредственной близости от поселка Зеленогорский находится горнолыжный комплекс «Таежный». Два спуска трассы длиною 740 и 950 метров. В комплексе имеется буксировочная канатная дорога с бугельным подъемником и подъемник для катания на плюшках. На территории трассы имеется автостоянка, кафе. Также напрокат можно взять лыжи, сноуборды, санки и тюбинги. Ежегодно горнолыжный комплекс посещает порядка 5 тысяч человек. В планах развития комплекса: строительство индивидуальных гостиничных домов, разработка маршрута для </w:t>
      </w:r>
      <w:r>
        <w:rPr>
          <w:rFonts w:ascii="Times New Roman" w:hAnsi="Times New Roman"/>
          <w:sz w:val="28"/>
        </w:rPr>
        <w:t>квадрацикла</w:t>
      </w:r>
      <w:r>
        <w:rPr>
          <w:rFonts w:ascii="Times New Roman" w:hAnsi="Times New Roman"/>
          <w:sz w:val="28"/>
        </w:rPr>
        <w:t xml:space="preserve"> и снегохода с выездом на высокую площадку, откуда открываются красивые виды на </w:t>
      </w:r>
      <w:r>
        <w:rPr>
          <w:rFonts w:ascii="Times New Roman" w:hAnsi="Times New Roman"/>
          <w:sz w:val="28"/>
        </w:rPr>
        <w:t>Симоновский</w:t>
      </w:r>
      <w:r>
        <w:rPr>
          <w:rFonts w:ascii="Times New Roman" w:hAnsi="Times New Roman"/>
          <w:sz w:val="28"/>
        </w:rPr>
        <w:t xml:space="preserve"> плес реки «Томь» и на пойму реки «Тайдон», строительство летней площадки для игры в пейнтбол.</w:t>
      </w:r>
    </w:p>
    <w:p w14:paraId="0C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1.2. Спортивный туризм.</w:t>
      </w:r>
      <w:r>
        <w:rPr>
          <w:rFonts w:ascii="Times New Roman" w:hAnsi="Times New Roman"/>
          <w:sz w:val="28"/>
        </w:rPr>
        <w:t xml:space="preserve"> Также в поселке Зеленогорский расположен многофункциональный спортивный комплекс. Он включает в себя футбольное, волейбольные, баскетбольное поля, гимнастический комплекс и три лыжероллерных трассы длиной 1360 м, 2000 м и 3000 м. </w:t>
      </w:r>
    </w:p>
    <w:p w14:paraId="0D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Приезжают спортсмены на сборы из городов Кемеровской области –Кузбасса, г. Новосибирска, Красноярского и Алтайского края, г. Томск, г. Омск, туристы из разных регионов страны, жители нашего округа. Проводятся соревнования различного уровня: мотокросс – Чемпионат и Первенство Кузбасса (1 этап), соревнования по боксу на кубок Главы Крапивинского муниципального округа и призы </w:t>
      </w:r>
      <w:r>
        <w:rPr>
          <w:rFonts w:ascii="Times New Roman" w:hAnsi="Times New Roman"/>
          <w:sz w:val="28"/>
        </w:rPr>
        <w:t>Интерконтинентального</w:t>
      </w:r>
      <w:r>
        <w:rPr>
          <w:rFonts w:ascii="Times New Roman" w:hAnsi="Times New Roman"/>
          <w:sz w:val="28"/>
        </w:rPr>
        <w:t xml:space="preserve"> Чемпиона WBО, </w:t>
      </w:r>
      <w:r>
        <w:rPr>
          <w:rFonts w:ascii="Times New Roman" w:hAnsi="Times New Roman"/>
          <w:sz w:val="28"/>
        </w:rPr>
        <w:t>WBA, чемпиона Европы WBO Вячеслава Гусева, первенство Кузбасса по лыжным гонкам на призы главы Крапивинского муниципального округа (лыжероллеры)</w:t>
      </w:r>
    </w:p>
    <w:p w14:paraId="0E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2025 году данный комплекс посетили более 50 тысяч человек. </w:t>
      </w:r>
    </w:p>
    <w:p w14:paraId="0F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желающих провести несколько дней в поселке работает «Спортотель» на 139 мест, который в 2025 году принял 1,7 тысяч человек.</w:t>
      </w:r>
    </w:p>
    <w:p w14:paraId="10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перспективе развития строительство лыжно-биатлонного комплекса, что позволит сделать огромный шаг вперед, позволит на этой площадке проводить соревнования по лыжным гонкам и биатлону всероссийского уровня. На сегодня разработана ПСД комплекса и получено положительное заключение экспертизы проекта, и положительное заключение достоверности сметной стоимости. Строительство комплекса окажет положительное влияние на социально-экономическое развитие округа. В следствии строительства объекта повыситься уровень качества подготовки спортсменов, проведение соревнований по лыжному спорту и биатлону.</w:t>
      </w:r>
    </w:p>
    <w:p w14:paraId="11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1.3. Снегоходный туризм.</w:t>
      </w:r>
      <w:r>
        <w:rPr>
          <w:rFonts w:ascii="Times New Roman" w:hAnsi="Times New Roman"/>
          <w:sz w:val="28"/>
        </w:rPr>
        <w:t xml:space="preserve"> Государственным казённым учреждением «Дирекция особо охраняемых природных территорий Кузбасса» в Крапивинском муниципальном округе организована снегоходная трасса «Средне-Томская» протяжённостью — 46 км. Введена в реестр снегоходных трасс Кемеровской области 17 января 2013 года. Данной трассой пользуются любители снегоходного туризма, используя личный транспорт.</w:t>
      </w:r>
    </w:p>
    <w:p w14:paraId="12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Снегоходные маршруты Александра </w:t>
      </w:r>
      <w:r>
        <w:rPr>
          <w:rFonts w:ascii="Times New Roman" w:hAnsi="Times New Roman"/>
          <w:sz w:val="28"/>
        </w:rPr>
        <w:t>Карабейникова</w:t>
      </w:r>
      <w:r>
        <w:rPr>
          <w:rFonts w:ascii="Times New Roman" w:hAnsi="Times New Roman"/>
          <w:sz w:val="28"/>
        </w:rPr>
        <w:t xml:space="preserve">: «Зеленогорск Центральный», «Уникальные места Зеленогорска». Александр Коробейников работает, как сопровождающий на снегоходных маршрутах собственной разработки.    </w:t>
      </w:r>
    </w:p>
    <w:p w14:paraId="13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Загородный клуб «Зель-Диего» в настоящее время ведет сотрудничество с Александром </w:t>
      </w:r>
      <w:r>
        <w:rPr>
          <w:rFonts w:ascii="Times New Roman" w:hAnsi="Times New Roman"/>
          <w:sz w:val="28"/>
        </w:rPr>
        <w:t>Карабейниковым</w:t>
      </w:r>
      <w:r>
        <w:rPr>
          <w:rFonts w:ascii="Times New Roman" w:hAnsi="Times New Roman"/>
          <w:sz w:val="28"/>
        </w:rPr>
        <w:t xml:space="preserve"> по сопровождению отдыхающих с личными снегоходами по его авторским маршрутам. «Зель-Диего» в 2025 году посетило 903 человека.</w:t>
      </w:r>
    </w:p>
    <w:p w14:paraId="14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1.4. Рыболовный туризм.</w:t>
      </w:r>
      <w:r>
        <w:rPr>
          <w:rFonts w:ascii="Times New Roman" w:hAnsi="Times New Roman"/>
          <w:sz w:val="28"/>
        </w:rPr>
        <w:t xml:space="preserve"> На территории Крапивинского округа в летний период функционирует место отдыха (кемпинг) ООО «Лагуна-Тур». Кемпинг находится на берегу реки Томь в поселке </w:t>
      </w:r>
      <w:r>
        <w:rPr>
          <w:rFonts w:ascii="Times New Roman" w:hAnsi="Times New Roman"/>
          <w:sz w:val="28"/>
        </w:rPr>
        <w:t>Берёзовка</w:t>
      </w:r>
      <w:r>
        <w:rPr>
          <w:rFonts w:ascii="Times New Roman" w:hAnsi="Times New Roman"/>
          <w:sz w:val="28"/>
        </w:rPr>
        <w:t xml:space="preserve"> в 55 км от города Кемерово. К услугам посетителей: бани, беседки, оснащенные электричеством, места под палатку с очагами, биотуалет, душ, </w:t>
      </w:r>
      <w:r>
        <w:rPr>
          <w:rFonts w:ascii="Times New Roman" w:hAnsi="Times New Roman"/>
          <w:sz w:val="28"/>
        </w:rPr>
        <w:t>фитобочки</w:t>
      </w:r>
      <w:r>
        <w:rPr>
          <w:rFonts w:ascii="Times New Roman" w:hAnsi="Times New Roman"/>
          <w:sz w:val="28"/>
        </w:rPr>
        <w:t xml:space="preserve">. Здесь ежегодно проходит чемпионат Сибирского региона по ловле рыбы на поплавочную снасть. Участниками данного события являются жители Сибирского региона из городов Кемеровской области-Кузбасса, Красноярска, Новосибирска и Алтайского края. С целью развития на берегу реки Томь планируется строительство кемпингов и </w:t>
      </w:r>
      <w:r>
        <w:rPr>
          <w:rFonts w:ascii="Times New Roman" w:hAnsi="Times New Roman"/>
          <w:sz w:val="28"/>
        </w:rPr>
        <w:t>глемпингов</w:t>
      </w:r>
      <w:r>
        <w:rPr>
          <w:rFonts w:ascii="Times New Roman" w:hAnsi="Times New Roman"/>
          <w:sz w:val="28"/>
        </w:rPr>
        <w:t>.</w:t>
      </w:r>
    </w:p>
    <w:p w14:paraId="15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летний период на берегу Томи отдохнуло почти 5 тысяч человек.</w:t>
      </w:r>
    </w:p>
    <w:p w14:paraId="16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1.5. Конный туризм</w:t>
      </w:r>
      <w:r>
        <w:rPr>
          <w:rFonts w:ascii="Times New Roman" w:hAnsi="Times New Roman"/>
          <w:sz w:val="28"/>
        </w:rPr>
        <w:t xml:space="preserve">. Круглогодично в д. Кабаново, работает конный клуб «Раздолье», организованный фермерским хозяйством Михаила Кондрашова. Конный клуб «Раздолье» — это место, где можно провести время, катаясь на лошадях и гужевых повозках, а также насладиться красивыми видами и чистым воздухом. Конный клуб предоставляет следующие услуги: конная прогулка для новичков, резвая конная прогулка для опытных всадников, урок верховой езды, аренда лошадей для фотосессии, в летний период аренда </w:t>
      </w:r>
      <w:r>
        <w:rPr>
          <w:rFonts w:ascii="Times New Roman" w:hAnsi="Times New Roman"/>
          <w:sz w:val="28"/>
        </w:rPr>
        <w:t>мангальной</w:t>
      </w:r>
      <w:r>
        <w:rPr>
          <w:rFonts w:ascii="Times New Roman" w:hAnsi="Times New Roman"/>
          <w:sz w:val="28"/>
        </w:rPr>
        <w:t xml:space="preserve"> зоны с беседкой.  Маршрут конных прогулок проходит через лес, поля, холм с видом на пруды, сосновый бор. Более 2,5 тысяч человек ежегодно посещают клуб.</w:t>
      </w:r>
    </w:p>
    <w:p w14:paraId="17000000">
      <w:pPr>
        <w:widowControl w:val="1"/>
        <w:spacing w:after="0" w:line="276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2. Этнографический туризм</w:t>
      </w:r>
    </w:p>
    <w:p w14:paraId="18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одно из направлений культурно-познавательного туризма, основан на интересе туристов к подлинной жизни народов, к ознакомлению с народными традициями, обрядами, творчеством и культурой.</w:t>
      </w:r>
    </w:p>
    <w:p w14:paraId="19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нашей территории успешно реализуется проект «Этнографический центр традиционной и воинской культуры «Мунгатский острог», расположившийся вблизи Свято-Никольского источника недалеко от поселка Каменный. Освящение родника и Поклонного креста состоялось 18 сентября 2012 года в честь 200-летия юбилея Бородинского сражения и победы российского народа в Отечественной войне 1812 года. На территории Этнографического центра была построена часовня в честь Преподобного Сергия Радонежского. Здесь ежегодно с 18 на 19 января жители и гости округа совершают обряд водосвятия в оборудованной купели с участием настоятеля Никольской церкви. В летние месяцы на территории острога располагается детский палаточный лагерь, в котором ежегодно отдыхает 250 детей по разным направлениям: патриотическая, спортивная, культурная и т.д. смены. </w:t>
      </w:r>
    </w:p>
    <w:p w14:paraId="1A000000">
      <w:pPr>
        <w:widowControl w:val="1"/>
        <w:spacing w:after="0" w:line="276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3. Культурно - познавательный туризм</w:t>
      </w:r>
    </w:p>
    <w:p w14:paraId="1B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3.1. Экскурсионный туризм</w:t>
      </w:r>
      <w:r>
        <w:rPr>
          <w:rFonts w:ascii="Times New Roman" w:hAnsi="Times New Roman"/>
          <w:sz w:val="28"/>
        </w:rPr>
        <w:t xml:space="preserve">, главной целью которого является ознакомление туристов с культурно – историческими памятниками и другими туристскими достопримечательностями в посещаемых местах. </w:t>
      </w:r>
    </w:p>
    <w:p w14:paraId="1C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Крапивинским краеведческим музеем реализуется два туристических маршрута:</w:t>
      </w:r>
    </w:p>
    <w:p w14:paraId="1D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культурно-познавательный (</w:t>
      </w:r>
      <w:r>
        <w:rPr>
          <w:rFonts w:ascii="Times New Roman" w:hAnsi="Times New Roman"/>
          <w:sz w:val="28"/>
        </w:rPr>
        <w:t>автобусно</w:t>
      </w:r>
      <w:r>
        <w:rPr>
          <w:rFonts w:ascii="Times New Roman" w:hAnsi="Times New Roman"/>
          <w:sz w:val="28"/>
        </w:rPr>
        <w:t>-пеший) маршрут «Крапивинский: прошлое и настоящее». Посещение объектов: Крапивинский краеведческий музей, Храм святителя Николая, Этнографический центр традиционной и воинской культуры «Мунгатский острог», Сквер Победителей.</w:t>
      </w:r>
    </w:p>
    <w:p w14:paraId="1E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культурно-познавательный (автобусный) маршрут «Загадка Крапивинского гидроузла». Посещение объектов: Музей истории строительства Крапивинского гидроузла, смотровая площадка на гидроузел, памятник истории «Могила членов семьи В.Д. Вучичевича», Аллея </w:t>
      </w:r>
      <w:r>
        <w:rPr>
          <w:rFonts w:ascii="Times New Roman" w:hAnsi="Times New Roman"/>
          <w:sz w:val="28"/>
        </w:rPr>
        <w:t>интернационалистов - осмотр уникальных арт-объектов, которые сделал своими руками из металлолома, местный мастер А.Ф. Поротов и участники конкурса актуального искусства из металлолома «Железное кружево».</w:t>
      </w:r>
    </w:p>
    <w:p w14:paraId="1F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маршруты посещают порядка 1500 экскурсантов.</w:t>
      </w:r>
    </w:p>
    <w:p w14:paraId="20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3.2. </w:t>
      </w:r>
      <w:r>
        <w:rPr>
          <w:rFonts w:ascii="Times New Roman" w:hAnsi="Times New Roman"/>
          <w:b w:val="1"/>
          <w:sz w:val="28"/>
        </w:rPr>
        <w:t>Этно- культурный</w:t>
      </w:r>
      <w:r>
        <w:rPr>
          <w:rFonts w:ascii="Times New Roman" w:hAnsi="Times New Roman"/>
          <w:b w:val="1"/>
          <w:sz w:val="28"/>
        </w:rPr>
        <w:t xml:space="preserve"> центр «Тайдон»</w:t>
      </w:r>
      <w:r>
        <w:rPr>
          <w:rFonts w:ascii="Times New Roman" w:hAnsi="Times New Roman"/>
          <w:sz w:val="28"/>
        </w:rPr>
        <w:t xml:space="preserve"> в пгт. Зеленогорский функционирует, как креативное пространство. Реализуются туристические маршруты: «Тропой охотника», «Зеленогорский: город </w:t>
      </w:r>
      <w:r>
        <w:rPr>
          <w:rFonts w:ascii="Times New Roman" w:hAnsi="Times New Roman"/>
          <w:sz w:val="28"/>
        </w:rPr>
        <w:t>гидростроя</w:t>
      </w:r>
      <w:r>
        <w:rPr>
          <w:rFonts w:ascii="Times New Roman" w:hAnsi="Times New Roman"/>
          <w:sz w:val="28"/>
        </w:rPr>
        <w:t>», «Таежные истории: Мунгатский острог»; проходят мастер-классы; работают экспозиции «Ремесла и быт 19 века», «Комната советского быта», «Великая отечественная война».</w:t>
      </w:r>
    </w:p>
    <w:p w14:paraId="21000000">
      <w:pPr>
        <w:widowControl w:val="1"/>
        <w:spacing w:after="0" w:line="276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4. Оздоровительный туризм</w:t>
      </w:r>
    </w:p>
    <w:p w14:paraId="22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представлен </w:t>
      </w:r>
      <w:r>
        <w:rPr>
          <w:rFonts w:ascii="Times New Roman" w:hAnsi="Times New Roman"/>
          <w:b w:val="1"/>
          <w:sz w:val="28"/>
        </w:rPr>
        <w:t>ГАУ «Санаторий «Борисовский</w:t>
      </w:r>
      <w:r>
        <w:rPr>
          <w:rFonts w:ascii="Times New Roman" w:hAnsi="Times New Roman"/>
          <w:sz w:val="28"/>
        </w:rPr>
        <w:t>». Лечение в санатории «Борисовский» уникально: сочетает природные методы оздоровления и лечения, широкий спектр диагностических и физиотерапевтических услуг. Медицинская база оснащена новым современным оборудованием. Главным лечебным фактором санатория является целебная вода «Борисовская». В Борисовском санатории в 2025 году прошли лечение 7,5 тысяч человек.</w:t>
      </w:r>
    </w:p>
    <w:p w14:paraId="23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целью развития санатория разработана концепция развития рекреационно-курортного кластера на базе санатория «Борисовский».</w:t>
      </w:r>
    </w:p>
    <w:p w14:paraId="24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 развития территорий включает два основных и дополнительный этапа. В рамках первого этапа предлагается возведение на территории участка Борисово таких зон притяжения, как медицинский SPA-комплекс, детский клуб и площадка, спортивные зоны, панорамный ресторан с винным погребом и чайный павильон, дополнительные мощности размещения, представленные шале на 100 номеров. К реконструкции предполагается питьевой бювет, находящийся во владении санатория.</w:t>
      </w:r>
    </w:p>
    <w:p w14:paraId="25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Вторая очередь включает реновацию на территории санатория: фонтана, лечебного корпуса, пищеблока, номерного фонда.</w:t>
      </w:r>
    </w:p>
    <w:p w14:paraId="26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Дополнительная очередь (может формироваться в любом порядке – быть как первой, так и третьей очередью) – создание эко-деревни на территории около пруда у скважины минеральной воды. Этот этап возможен при обеспечении гарантии сохранности минерального источника и грязей от антропологического воздействия деревни.</w:t>
      </w:r>
    </w:p>
    <w:p w14:paraId="27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Туристический поток Кемеровской области обеспечивается местными жителями и соседними регионами. </w:t>
      </w:r>
    </w:p>
    <w:p w14:paraId="28000000">
      <w:pPr>
        <w:widowControl w:val="1"/>
        <w:spacing w:after="0" w:line="276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5. Событийный туризм</w:t>
      </w:r>
    </w:p>
    <w:p w14:paraId="29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это направление туризма, при котором туристические поездки ориентированы на посещение местности в определенное время, связанное с каким-либо событием или определенным мероприятием. В настоящее время событийный туризм - один из самых динамично развивающихся секторов индустрии туризма.</w:t>
      </w:r>
    </w:p>
    <w:p w14:paraId="2A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5.1.</w:t>
      </w:r>
      <w:r>
        <w:rPr>
          <w:rFonts w:ascii="Times New Roman" w:hAnsi="Times New Roman"/>
          <w:sz w:val="28"/>
        </w:rPr>
        <w:t xml:space="preserve"> Ежегодно в январе проводим двухдневный </w:t>
      </w:r>
      <w:r>
        <w:rPr>
          <w:rFonts w:ascii="Times New Roman" w:hAnsi="Times New Roman"/>
          <w:b w:val="1"/>
          <w:sz w:val="28"/>
        </w:rPr>
        <w:t>Межрегиональный Крапивинский фольклорный фестиваль «Крещенские вечерки».</w:t>
      </w:r>
      <w:r>
        <w:rPr>
          <w:rFonts w:ascii="Times New Roman" w:hAnsi="Times New Roman"/>
          <w:sz w:val="28"/>
        </w:rPr>
        <w:t xml:space="preserve"> В программе фестиваля: различные мастер-классы, работа фотозон, сувенирных лавок, крещенские обряды и забавы, горячий чай и ароматная выпечка, «Зимние сибирские хороводные гуляния» (хоровод на площади), конкурс снеговиков. Также в рамках фестиваля проводим деловую программу «Духовно-нравственное воспитание молодежи на традиционном русском фольклоре». Завершается фестиваль экскурсией в Этнографический центр традиционной и воинской культуры «Мунгатский острог» на Святой источник Николая Чудотворца с возможностью окунуться в святую крещенскую купель. Участие принимают от 15 до 18 творческих коллектива и более 30 мастеров дополнительного прикладного искусства. Мероприятие посещает 1,5 тысячи человек. </w:t>
      </w:r>
    </w:p>
    <w:p w14:paraId="2B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5.2.</w:t>
      </w:r>
      <w:r>
        <w:rPr>
          <w:rFonts w:ascii="Times New Roman" w:hAnsi="Times New Roman"/>
          <w:sz w:val="28"/>
        </w:rPr>
        <w:t xml:space="preserve"> В 2012 году построен, а в 2023 году капитально отремонтирован ипподром в деревне Кабаново. Современная беговая дорожка ипподрома соответствует всем требованиям проведения конноспортивных соревнований. Ипподром имеет большой и малый круги. Возведена крытая трибуна для зрителей, проведена электрификация сооружений, определено место под автостоянку. Ежегодно в конце июня на ипподроме проводятся </w:t>
      </w:r>
      <w:r>
        <w:rPr>
          <w:rFonts w:ascii="Times New Roman" w:hAnsi="Times New Roman"/>
          <w:b w:val="1"/>
          <w:sz w:val="28"/>
        </w:rPr>
        <w:t>конно-спортивные</w:t>
      </w:r>
      <w:r>
        <w:rPr>
          <w:rFonts w:ascii="Times New Roman" w:hAnsi="Times New Roman"/>
          <w:b w:val="1"/>
          <w:sz w:val="28"/>
        </w:rPr>
        <w:t xml:space="preserve"> соревновани</w:t>
      </w:r>
      <w:r>
        <w:rPr>
          <w:rFonts w:ascii="Times New Roman" w:hAnsi="Times New Roman"/>
          <w:sz w:val="28"/>
        </w:rPr>
        <w:t xml:space="preserve">я, посвященные памяти </w:t>
      </w:r>
      <w:r>
        <w:rPr>
          <w:rFonts w:ascii="Times New Roman" w:hAnsi="Times New Roman"/>
          <w:sz w:val="28"/>
        </w:rPr>
        <w:t>Л.К.Варсобина</w:t>
      </w:r>
      <w:r>
        <w:rPr>
          <w:rFonts w:ascii="Times New Roman" w:hAnsi="Times New Roman"/>
          <w:sz w:val="28"/>
        </w:rPr>
        <w:t xml:space="preserve">, которые посещают более 5 тыс. человек. </w:t>
      </w:r>
    </w:p>
    <w:p w14:paraId="2C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5.3. Событие «Железное кружево</w:t>
      </w:r>
      <w:r>
        <w:rPr>
          <w:rFonts w:ascii="Times New Roman" w:hAnsi="Times New Roman"/>
          <w:sz w:val="28"/>
        </w:rPr>
        <w:t xml:space="preserve">», которое проходит во второй неделе августа в пгт Зеленогорский Крапивинского округа стало известно на всю страну. Железное кружево- это конкурс актуального мастерства среди сварщиков и </w:t>
      </w:r>
      <w:r>
        <w:rPr>
          <w:rFonts w:ascii="Times New Roman" w:hAnsi="Times New Roman"/>
          <w:sz w:val="28"/>
        </w:rPr>
        <w:t>ковщиков</w:t>
      </w:r>
      <w:r>
        <w:rPr>
          <w:rFonts w:ascii="Times New Roman" w:hAnsi="Times New Roman"/>
          <w:sz w:val="28"/>
        </w:rPr>
        <w:t xml:space="preserve">, которые в режиме реального времени изготавливают из отходов металлического производства арт объекты, которые по завершении конкурса остаются украшать поселок. Участвуют команды из Московской, Новосибирской и Томской областей, Красноярского и Алтайского края, Кемеровской области-Кузбасса. В событии принимает участие порядком 100 мастеров ДПИ и ремесленников, более 30 рок групп со всей России, мастера бодибилдинга и пауэрлифтинга, более 50 рокеров. </w:t>
      </w:r>
    </w:p>
    <w:p w14:paraId="2D000000">
      <w:pPr>
        <w:widowControl w:val="1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количество посетителей данного мероприятия растет: с 1тысячи человек в 2021 году до 28 тысяч человек в 2025 году.</w:t>
      </w:r>
    </w:p>
    <w:p w14:paraId="2E000000">
      <w:pPr>
        <w:pStyle w:val="Style_1"/>
        <w:widowControl w:val="1"/>
        <w:spacing w:line="276" w:lineRule="auto"/>
        <w:ind/>
        <w:jc w:val="both"/>
        <w:rPr>
          <w:rFonts w:ascii="Times New Roman" w:hAnsi="Times New Roman"/>
        </w:rPr>
      </w:pPr>
    </w:p>
    <w:p w14:paraId="2F000000">
      <w:pPr>
        <w:widowControl w:val="1"/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Благодаря комплексному подходу, туристический поток в Крапивинский муниципальный округ в 2025 году увеличился на 68 % по сравнению с прошлым годом и составил порядка 50 000 человек. </w:t>
      </w:r>
    </w:p>
    <w:p w14:paraId="30000000">
      <w:pPr>
        <w:widowControl w:val="1"/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</w:t>
      </w:r>
      <w:r>
        <w:rPr>
          <w:rFonts w:ascii="Times New Roman" w:hAnsi="Times New Roman"/>
          <w:sz w:val="28"/>
        </w:rPr>
        <w:t>ифры с 2022 по 2025 год, достижение которых напрямую связано с туризмом:</w:t>
      </w:r>
    </w:p>
    <w:p w14:paraId="31000000">
      <w:pPr>
        <w:widowControl w:val="1"/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туристический поток (туристы, которые пользуются коллективными средствами размещения) растет ежегодно. В 2025 году рост 13,5% в сравнении </w:t>
      </w:r>
      <w:r>
        <w:rPr>
          <w:rFonts w:ascii="Times New Roman" w:hAnsi="Times New Roman"/>
          <w:sz w:val="28"/>
        </w:rPr>
        <w:t>с 2022 годом. Спад туристов в 2025 году в сравнении с 2024 годом связан со значительным ростом ночевок;</w:t>
      </w:r>
    </w:p>
    <w:p w14:paraId="32000000">
      <w:pPr>
        <w:widowControl w:val="1"/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рост посетителей фестиваля «Железное кружево» почти в пять раз с 2022 годом;</w:t>
      </w:r>
    </w:p>
    <w:p w14:paraId="33000000">
      <w:pPr>
        <w:widowControl w:val="1"/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количество субъектов МСП выросло с 309 в 2022 году до 354 в 2025 году; 14,6%;</w:t>
      </w:r>
    </w:p>
    <w:p w14:paraId="34000000">
      <w:pPr>
        <w:widowControl w:val="1"/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увеличились инвестиции, обороты розничной торговли и общественного питания;</w:t>
      </w:r>
    </w:p>
    <w:p w14:paraId="35000000">
      <w:pPr>
        <w:widowControl w:val="1"/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рост узнаваемости территории на 53,6%: число поисковых запросов по Крапивинскому МО с 6 тыс единиц до 9,2 тыс единиц. </w:t>
      </w:r>
    </w:p>
    <w:p w14:paraId="36000000">
      <w:pPr>
        <w:widowControl w:val="1"/>
        <w:spacing w:after="0"/>
        <w:ind w:firstLine="708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250"/>
        <w:tblLayout w:type="fixed"/>
      </w:tblPr>
      <w:tblGrid>
        <w:gridCol w:w="3969"/>
        <w:gridCol w:w="1220"/>
        <w:gridCol w:w="1220"/>
        <w:gridCol w:w="1220"/>
        <w:gridCol w:w="1220"/>
      </w:tblGrid>
      <w:tr>
        <w:tc>
          <w:tcPr>
            <w:tcW w:type="dxa" w:w="3969"/>
          </w:tcPr>
          <w:p w14:paraId="37000000">
            <w:pPr>
              <w:widowControl w:val="1"/>
              <w:spacing w:after="160" w:line="276" w:lineRule="auto"/>
              <w:ind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</w:t>
            </w:r>
          </w:p>
        </w:tc>
        <w:tc>
          <w:tcPr>
            <w:tcW w:type="dxa" w:w="1220"/>
          </w:tcPr>
          <w:p w14:paraId="38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1220"/>
          </w:tcPr>
          <w:p w14:paraId="39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1220"/>
          </w:tcPr>
          <w:p w14:paraId="3A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1220"/>
          </w:tcPr>
          <w:p w14:paraId="3B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</w:tr>
      <w:tr>
        <w:tc>
          <w:tcPr>
            <w:tcW w:type="dxa" w:w="3969"/>
          </w:tcPr>
          <w:p w14:paraId="3C000000">
            <w:pPr>
              <w:widowControl w:val="1"/>
              <w:spacing w:after="160" w:line="276" w:lineRule="auto"/>
              <w:ind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туристов, размещенных в КСР, чел</w:t>
            </w:r>
          </w:p>
        </w:tc>
        <w:tc>
          <w:tcPr>
            <w:tcW w:type="dxa" w:w="1220"/>
          </w:tcPr>
          <w:p w14:paraId="3D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13539</w:t>
            </w:r>
          </w:p>
        </w:tc>
        <w:tc>
          <w:tcPr>
            <w:tcW w:type="dxa" w:w="1220"/>
          </w:tcPr>
          <w:p w14:paraId="3E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16162</w:t>
            </w:r>
          </w:p>
        </w:tc>
        <w:tc>
          <w:tcPr>
            <w:tcW w:type="dxa" w:w="1220"/>
          </w:tcPr>
          <w:p w14:paraId="3F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17368</w:t>
            </w:r>
          </w:p>
        </w:tc>
        <w:tc>
          <w:tcPr>
            <w:tcW w:type="dxa" w:w="1220"/>
          </w:tcPr>
          <w:p w14:paraId="40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15360</w:t>
            </w:r>
          </w:p>
        </w:tc>
      </w:tr>
      <w:tr>
        <w:tc>
          <w:tcPr>
            <w:tcW w:type="dxa" w:w="3969"/>
          </w:tcPr>
          <w:p w14:paraId="41000000">
            <w:pPr>
              <w:widowControl w:val="1"/>
              <w:spacing w:after="160" w:line="276" w:lineRule="auto"/>
              <w:ind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Число ночевок в КСР, дни</w:t>
            </w:r>
          </w:p>
        </w:tc>
        <w:tc>
          <w:tcPr>
            <w:tcW w:type="dxa" w:w="1220"/>
          </w:tcPr>
          <w:p w14:paraId="42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39888</w:t>
            </w:r>
          </w:p>
        </w:tc>
        <w:tc>
          <w:tcPr>
            <w:tcW w:type="dxa" w:w="1220"/>
          </w:tcPr>
          <w:p w14:paraId="43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47634</w:t>
            </w:r>
          </w:p>
        </w:tc>
        <w:tc>
          <w:tcPr>
            <w:tcW w:type="dxa" w:w="1220"/>
          </w:tcPr>
          <w:p w14:paraId="44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33756</w:t>
            </w:r>
          </w:p>
        </w:tc>
        <w:tc>
          <w:tcPr>
            <w:tcW w:type="dxa" w:w="1220"/>
          </w:tcPr>
          <w:p w14:paraId="45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77404</w:t>
            </w:r>
          </w:p>
        </w:tc>
      </w:tr>
      <w:tr>
        <w:tc>
          <w:tcPr>
            <w:tcW w:type="dxa" w:w="3969"/>
          </w:tcPr>
          <w:p w14:paraId="46000000">
            <w:pPr>
              <w:widowControl w:val="1"/>
              <w:spacing w:after="160" w:line="276" w:lineRule="auto"/>
              <w:ind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посетителей фестиваля ЖК, чел</w:t>
            </w:r>
          </w:p>
        </w:tc>
        <w:tc>
          <w:tcPr>
            <w:tcW w:type="dxa" w:w="1220"/>
          </w:tcPr>
          <w:p w14:paraId="47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6000</w:t>
            </w:r>
          </w:p>
        </w:tc>
        <w:tc>
          <w:tcPr>
            <w:tcW w:type="dxa" w:w="1220"/>
          </w:tcPr>
          <w:p w14:paraId="48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15000</w:t>
            </w:r>
          </w:p>
        </w:tc>
        <w:tc>
          <w:tcPr>
            <w:tcW w:type="dxa" w:w="1220"/>
          </w:tcPr>
          <w:p w14:paraId="49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17000</w:t>
            </w:r>
          </w:p>
        </w:tc>
        <w:tc>
          <w:tcPr>
            <w:tcW w:type="dxa" w:w="1220"/>
          </w:tcPr>
          <w:p w14:paraId="4A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28000</w:t>
            </w:r>
          </w:p>
        </w:tc>
      </w:tr>
      <w:tr>
        <w:tc>
          <w:tcPr>
            <w:tcW w:type="dxa" w:w="3969"/>
          </w:tcPr>
          <w:p w14:paraId="4B000000">
            <w:pPr>
              <w:widowControl w:val="1"/>
              <w:spacing w:after="160" w:line="276" w:lineRule="auto"/>
              <w:ind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МСП, ед</w:t>
            </w:r>
          </w:p>
        </w:tc>
        <w:tc>
          <w:tcPr>
            <w:tcW w:type="dxa" w:w="1220"/>
          </w:tcPr>
          <w:p w14:paraId="4C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309</w:t>
            </w:r>
          </w:p>
        </w:tc>
        <w:tc>
          <w:tcPr>
            <w:tcW w:type="dxa" w:w="1220"/>
          </w:tcPr>
          <w:p w14:paraId="4D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315</w:t>
            </w:r>
          </w:p>
        </w:tc>
        <w:tc>
          <w:tcPr>
            <w:tcW w:type="dxa" w:w="1220"/>
          </w:tcPr>
          <w:p w14:paraId="4E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348</w:t>
            </w:r>
          </w:p>
        </w:tc>
        <w:tc>
          <w:tcPr>
            <w:tcW w:type="dxa" w:w="1220"/>
          </w:tcPr>
          <w:p w14:paraId="4F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354</w:t>
            </w:r>
          </w:p>
        </w:tc>
      </w:tr>
      <w:tr>
        <w:tc>
          <w:tcPr>
            <w:tcW w:type="dxa" w:w="3969"/>
          </w:tcPr>
          <w:p w14:paraId="50000000">
            <w:pPr>
              <w:widowControl w:val="1"/>
              <w:spacing w:after="160" w:line="276" w:lineRule="auto"/>
              <w:ind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Узнаваемость территории, ед</w:t>
            </w:r>
          </w:p>
        </w:tc>
        <w:tc>
          <w:tcPr>
            <w:tcW w:type="dxa" w:w="1220"/>
          </w:tcPr>
          <w:p w14:paraId="51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5960</w:t>
            </w:r>
          </w:p>
        </w:tc>
        <w:tc>
          <w:tcPr>
            <w:tcW w:type="dxa" w:w="1220"/>
          </w:tcPr>
          <w:p w14:paraId="52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8677</w:t>
            </w:r>
          </w:p>
        </w:tc>
        <w:tc>
          <w:tcPr>
            <w:tcW w:type="dxa" w:w="1220"/>
          </w:tcPr>
          <w:p w14:paraId="53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8216</w:t>
            </w:r>
          </w:p>
        </w:tc>
        <w:tc>
          <w:tcPr>
            <w:tcW w:type="dxa" w:w="1220"/>
          </w:tcPr>
          <w:p w14:paraId="54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9154</w:t>
            </w:r>
          </w:p>
        </w:tc>
      </w:tr>
      <w:tr>
        <w:tc>
          <w:tcPr>
            <w:tcW w:type="dxa" w:w="3969"/>
          </w:tcPr>
          <w:p w14:paraId="55000000">
            <w:pPr>
              <w:widowControl w:val="1"/>
              <w:spacing w:after="160" w:line="276" w:lineRule="auto"/>
              <w:ind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инвестиций</w:t>
            </w:r>
            <w:r>
              <w:rPr>
                <w:rFonts w:ascii="Calibri" w:hAnsi="Calibri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(за исключением бюджетных средств), млн руб</w:t>
            </w:r>
          </w:p>
        </w:tc>
        <w:tc>
          <w:tcPr>
            <w:tcW w:type="dxa" w:w="1220"/>
          </w:tcPr>
          <w:p w14:paraId="56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658,9</w:t>
            </w:r>
          </w:p>
        </w:tc>
        <w:tc>
          <w:tcPr>
            <w:tcW w:type="dxa" w:w="1220"/>
          </w:tcPr>
          <w:p w14:paraId="57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1060,5</w:t>
            </w:r>
          </w:p>
        </w:tc>
        <w:tc>
          <w:tcPr>
            <w:tcW w:type="dxa" w:w="1220"/>
          </w:tcPr>
          <w:p w14:paraId="58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775,5</w:t>
            </w:r>
          </w:p>
        </w:tc>
        <w:tc>
          <w:tcPr>
            <w:tcW w:type="dxa" w:w="1220"/>
          </w:tcPr>
          <w:p w14:paraId="59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884,7</w:t>
            </w:r>
          </w:p>
        </w:tc>
      </w:tr>
      <w:tr>
        <w:tc>
          <w:tcPr>
            <w:tcW w:type="dxa" w:w="3969"/>
          </w:tcPr>
          <w:p w14:paraId="5A000000">
            <w:pPr>
              <w:widowControl w:val="1"/>
              <w:spacing w:after="160" w:line="276" w:lineRule="auto"/>
              <w:ind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Оборот розничной торговли, млн. руб</w:t>
            </w:r>
          </w:p>
        </w:tc>
        <w:tc>
          <w:tcPr>
            <w:tcW w:type="dxa" w:w="1220"/>
          </w:tcPr>
          <w:p w14:paraId="5B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1809</w:t>
            </w:r>
          </w:p>
        </w:tc>
        <w:tc>
          <w:tcPr>
            <w:tcW w:type="dxa" w:w="1220"/>
          </w:tcPr>
          <w:p w14:paraId="5C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1973</w:t>
            </w:r>
          </w:p>
        </w:tc>
        <w:tc>
          <w:tcPr>
            <w:tcW w:type="dxa" w:w="1220"/>
          </w:tcPr>
          <w:p w14:paraId="5D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2320</w:t>
            </w:r>
          </w:p>
        </w:tc>
        <w:tc>
          <w:tcPr>
            <w:tcW w:type="dxa" w:w="1220"/>
          </w:tcPr>
          <w:p w14:paraId="5E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2519</w:t>
            </w:r>
          </w:p>
        </w:tc>
      </w:tr>
      <w:tr>
        <w:tc>
          <w:tcPr>
            <w:tcW w:type="dxa" w:w="3969"/>
          </w:tcPr>
          <w:p w14:paraId="5F000000">
            <w:pPr>
              <w:widowControl w:val="1"/>
              <w:spacing w:after="160" w:line="276" w:lineRule="auto"/>
              <w:ind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Оборот общественного питания,</w:t>
            </w:r>
            <w:r>
              <w:rPr>
                <w:rFonts w:ascii="Calibri" w:hAnsi="Calibri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млн. руб</w:t>
            </w:r>
          </w:p>
        </w:tc>
        <w:tc>
          <w:tcPr>
            <w:tcW w:type="dxa" w:w="1220"/>
          </w:tcPr>
          <w:p w14:paraId="60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34,8</w:t>
            </w:r>
          </w:p>
        </w:tc>
        <w:tc>
          <w:tcPr>
            <w:tcW w:type="dxa" w:w="1220"/>
          </w:tcPr>
          <w:p w14:paraId="61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</w:t>
            </w:r>
          </w:p>
        </w:tc>
        <w:tc>
          <w:tcPr>
            <w:tcW w:type="dxa" w:w="1220"/>
          </w:tcPr>
          <w:p w14:paraId="62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45,4</w:t>
            </w:r>
          </w:p>
        </w:tc>
        <w:tc>
          <w:tcPr>
            <w:tcW w:type="dxa" w:w="1220"/>
          </w:tcPr>
          <w:p w14:paraId="63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63,3</w:t>
            </w:r>
          </w:p>
        </w:tc>
      </w:tr>
      <w:tr>
        <w:tc>
          <w:tcPr>
            <w:tcW w:type="dxa" w:w="3969"/>
          </w:tcPr>
          <w:p w14:paraId="64000000">
            <w:pPr>
              <w:widowControl w:val="1"/>
              <w:spacing w:after="160" w:line="276" w:lineRule="auto"/>
              <w:ind/>
              <w:contextualSpacing w:val="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Заработная плата, тыс. руб.</w:t>
            </w:r>
          </w:p>
        </w:tc>
        <w:tc>
          <w:tcPr>
            <w:tcW w:type="dxa" w:w="1220"/>
          </w:tcPr>
          <w:p w14:paraId="65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40,6</w:t>
            </w:r>
          </w:p>
        </w:tc>
        <w:tc>
          <w:tcPr>
            <w:tcW w:type="dxa" w:w="1220"/>
          </w:tcPr>
          <w:p w14:paraId="66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47,2</w:t>
            </w:r>
          </w:p>
        </w:tc>
        <w:tc>
          <w:tcPr>
            <w:tcW w:type="dxa" w:w="1220"/>
          </w:tcPr>
          <w:p w14:paraId="67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54,8</w:t>
            </w:r>
          </w:p>
        </w:tc>
        <w:tc>
          <w:tcPr>
            <w:tcW w:type="dxa" w:w="1220"/>
          </w:tcPr>
          <w:p w14:paraId="68000000">
            <w:pPr>
              <w:widowControl w:val="1"/>
              <w:spacing w:after="160" w:line="276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58,3</w:t>
            </w:r>
          </w:p>
        </w:tc>
      </w:tr>
    </w:tbl>
    <w:p w14:paraId="69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6A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6B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6C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6D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6E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6F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70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71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72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73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74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75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76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77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78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79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7A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7B000000">
      <w:pPr>
        <w:widowControl w:val="1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Приложение</w:t>
      </w:r>
      <w:r>
        <w:rPr>
          <w:rFonts w:ascii="Times New Roman" w:hAnsi="Times New Roman"/>
          <w:color w:val="000000"/>
          <w:sz w:val="24"/>
        </w:rPr>
        <w:t xml:space="preserve"> 2</w:t>
      </w:r>
    </w:p>
    <w:p w14:paraId="7C000000">
      <w:pPr>
        <w:widowControl w:val="1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 постановлению АКМО </w:t>
      </w:r>
    </w:p>
    <w:p w14:paraId="7D000000">
      <w:pPr>
        <w:widowControl w:val="1"/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от</w:t>
      </w:r>
      <w:r>
        <w:rPr>
          <w:rFonts w:ascii="Times New Roman" w:hAnsi="Times New Roman"/>
          <w:color w:val="000000"/>
          <w:sz w:val="24"/>
        </w:rPr>
        <w:t xml:space="preserve"> 24.08.2026 </w:t>
      </w:r>
      <w:r>
        <w:rPr>
          <w:rFonts w:ascii="Times New Roman" w:hAnsi="Times New Roman"/>
          <w:color w:val="000000"/>
          <w:sz w:val="24"/>
        </w:rPr>
        <w:t>№</w:t>
      </w:r>
      <w:r>
        <w:rPr>
          <w:rFonts w:ascii="Times New Roman" w:hAnsi="Times New Roman"/>
          <w:color w:val="000000"/>
          <w:sz w:val="24"/>
        </w:rPr>
        <w:t xml:space="preserve"> 856</w:t>
      </w:r>
      <w:bookmarkStart w:id="1" w:name="_GoBack"/>
      <w:bookmarkEnd w:id="1"/>
    </w:p>
    <w:p w14:paraId="7E000000">
      <w:pPr>
        <w:widowControl w:val="1"/>
        <w:spacing w:after="0" w:line="240" w:lineRule="auto"/>
        <w:ind w:left="720"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7F000000">
      <w:pPr>
        <w:widowControl w:val="1"/>
        <w:spacing w:after="0" w:line="240" w:lineRule="auto"/>
        <w:ind w:left="72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</w:t>
      </w:r>
      <w:r>
        <w:rPr>
          <w:rFonts w:ascii="Times New Roman" w:hAnsi="Times New Roman"/>
          <w:b w:val="1"/>
          <w:color w:val="000000"/>
          <w:sz w:val="28"/>
        </w:rPr>
        <w:t>оказател</w:t>
      </w:r>
      <w:r>
        <w:rPr>
          <w:rFonts w:ascii="Times New Roman" w:hAnsi="Times New Roman"/>
          <w:b w:val="1"/>
          <w:color w:val="000000"/>
          <w:sz w:val="28"/>
        </w:rPr>
        <w:t>и</w:t>
      </w:r>
      <w:r>
        <w:rPr>
          <w:rFonts w:ascii="Times New Roman" w:hAnsi="Times New Roman"/>
          <w:b w:val="1"/>
          <w:color w:val="000000"/>
          <w:sz w:val="28"/>
        </w:rPr>
        <w:t xml:space="preserve"> (индикатор</w:t>
      </w:r>
      <w:r>
        <w:rPr>
          <w:rFonts w:ascii="Times New Roman" w:hAnsi="Times New Roman"/>
          <w:b w:val="1"/>
          <w:color w:val="000000"/>
          <w:sz w:val="28"/>
        </w:rPr>
        <w:t>ы</w:t>
      </w:r>
      <w:r>
        <w:rPr>
          <w:rFonts w:ascii="Times New Roman" w:hAnsi="Times New Roman"/>
          <w:b w:val="1"/>
          <w:color w:val="000000"/>
          <w:sz w:val="28"/>
        </w:rPr>
        <w:t>)</w:t>
      </w:r>
    </w:p>
    <w:p w14:paraId="80000000">
      <w:pPr>
        <w:widowControl w:val="1"/>
        <w:spacing w:after="0" w:line="240" w:lineRule="auto"/>
        <w:ind w:left="36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концепции развития туризма в Крапивинском муниципальном округе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за 2025 год</w:t>
      </w:r>
    </w:p>
    <w:p w14:paraId="81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8"/>
        </w:rPr>
      </w:pPr>
    </w:p>
    <w:tbl>
      <w:tblPr>
        <w:tblStyle w:val="Style_3"/>
        <w:tblW w:type="auto" w:w="0"/>
        <w:tblInd w:type="dxa" w:w="-434"/>
        <w:tblLayout w:type="fixed"/>
        <w:tblCellMar>
          <w:left w:type="dxa" w:w="70"/>
          <w:right w:type="dxa" w:w="70"/>
        </w:tblCellMar>
      </w:tblPr>
      <w:tblGrid>
        <w:gridCol w:w="552"/>
        <w:gridCol w:w="3418"/>
        <w:gridCol w:w="2835"/>
        <w:gridCol w:w="1700"/>
        <w:gridCol w:w="1560"/>
      </w:tblGrid>
      <w:tr>
        <w:trPr>
          <w:trHeight w:hRule="atLeast" w:val="600"/>
        </w:trPr>
        <w:tc>
          <w:tcPr>
            <w:tcW w:type="dxa" w:w="552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8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N п/п</w:t>
            </w:r>
          </w:p>
        </w:tc>
        <w:tc>
          <w:tcPr>
            <w:tcW w:type="dxa" w:w="3418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8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мероприятия </w:t>
            </w:r>
          </w:p>
        </w:tc>
        <w:tc>
          <w:tcPr>
            <w:tcW w:type="dxa" w:w="2835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8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 целевого показателя (индикатора)</w:t>
            </w:r>
          </w:p>
          <w:p w14:paraId="85000000">
            <w:pPr>
              <w:widowControl w:val="1"/>
              <w:spacing w:after="0" w:line="240" w:lineRule="auto"/>
              <w:ind w:left="72" w:right="72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700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86000000">
            <w:pPr>
              <w:widowControl w:val="1"/>
              <w:spacing w:after="0" w:line="240" w:lineRule="auto"/>
              <w:ind w:left="-85" w:right="-124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Единица измерения  </w:t>
            </w:r>
          </w:p>
        </w:tc>
        <w:tc>
          <w:tcPr>
            <w:tcW w:type="dxa" w:w="1560"/>
            <w:vMerge w:val="restart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87000000">
            <w:pPr>
              <w:widowControl w:val="1"/>
              <w:spacing w:after="0" w:line="240" w:lineRule="auto"/>
              <w:ind w:left="-85" w:right="-124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Факт за 2025 год</w:t>
            </w:r>
          </w:p>
        </w:tc>
      </w:tr>
      <w:tr>
        <w:trPr>
          <w:trHeight w:hRule="atLeast" w:val="505"/>
        </w:trPr>
        <w:tc>
          <w:tcPr>
            <w:tcW w:type="dxa" w:w="552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left w:type="dxa" w:w="70"/>
              <w:right w:type="dxa" w:w="70"/>
            </w:tcMar>
          </w:tcPr>
          <w:p/>
        </w:tc>
        <w:tc>
          <w:tcPr>
            <w:tcW w:type="dxa" w:w="3418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left w:type="dxa" w:w="70"/>
              <w:right w:type="dxa" w:w="70"/>
            </w:tcMar>
          </w:tcPr>
          <w:p/>
        </w:tc>
        <w:tc>
          <w:tcPr>
            <w:tcW w:type="dxa" w:w="2835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left w:type="dxa" w:w="70"/>
              <w:right w:type="dxa" w:w="70"/>
            </w:tcMar>
          </w:tcPr>
          <w:p/>
        </w:tc>
        <w:tc>
          <w:tcPr>
            <w:tcW w:type="dxa" w:w="1700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left w:type="dxa" w:w="70"/>
              <w:right w:type="dxa" w:w="70"/>
            </w:tcMar>
          </w:tcPr>
          <w:p/>
        </w:tc>
        <w:tc>
          <w:tcPr>
            <w:tcW w:type="dxa" w:w="1560"/>
            <w:gridSpan w:val="1"/>
            <w:vMerge w:val="continue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left w:type="dxa" w:w="70"/>
              <w:right w:type="dxa" w:w="70"/>
            </w:tcMar>
          </w:tcPr>
          <w:p/>
        </w:tc>
      </w:tr>
      <w:tr>
        <w:trPr>
          <w:trHeight w:hRule="atLeast" w:val="240"/>
        </w:trPr>
        <w:tc>
          <w:tcPr>
            <w:tcW w:type="dxa" w:w="5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8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8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17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left w:type="dxa" w:w="70"/>
              <w:right w:type="dxa" w:w="70"/>
            </w:tcMar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>
        <w:trPr>
          <w:trHeight w:hRule="atLeast" w:val="240"/>
        </w:trPr>
        <w:tc>
          <w:tcPr>
            <w:tcW w:type="dxa" w:w="5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8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type="dxa" w:w="34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8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модульных некапитальных средств размещения, кемпинг, </w:t>
            </w:r>
            <w:r>
              <w:rPr>
                <w:rFonts w:ascii="Times New Roman" w:hAnsi="Times New Roman"/>
                <w:color w:val="000000"/>
                <w:sz w:val="24"/>
              </w:rPr>
              <w:t>автокемпинг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глэипинг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т.д., пунктов общественного питания, гостиниц и т.д.</w:t>
            </w:r>
          </w:p>
        </w:tc>
        <w:tc>
          <w:tcPr>
            <w:tcW w:type="dxa" w:w="2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8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объектов/количество мест </w:t>
            </w:r>
          </w:p>
        </w:tc>
        <w:tc>
          <w:tcPr>
            <w:tcW w:type="dxa" w:w="17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9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left w:type="dxa" w:w="70"/>
              <w:right w:type="dxa" w:w="70"/>
            </w:tcMar>
            <w:vAlign w:val="center"/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0</w:t>
            </w:r>
          </w:p>
        </w:tc>
      </w:tr>
      <w:tr>
        <w:trPr>
          <w:trHeight w:hRule="atLeast" w:val="1012"/>
        </w:trPr>
        <w:tc>
          <w:tcPr>
            <w:tcW w:type="dxa" w:w="552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9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type="dxa" w:w="3418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9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color w:val="000000"/>
                <w:sz w:val="24"/>
              </w:rPr>
              <w:t>грантовых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проектах</w:t>
            </w:r>
          </w:p>
        </w:tc>
        <w:tc>
          <w:tcPr>
            <w:tcW w:type="dxa" w:w="2835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9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организаций, принявших участие</w:t>
            </w:r>
          </w:p>
        </w:tc>
        <w:tc>
          <w:tcPr>
            <w:tcW w:type="dxa" w:w="1700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9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sz="4" w:val="nil"/>
              <w:right w:color="000000" w:sz="4" w:val="single"/>
            </w:tcBorders>
            <w:tcMar>
              <w:left w:type="dxa" w:w="70"/>
              <w:right w:type="dxa" w:w="70"/>
            </w:tcMar>
            <w:vAlign w:val="center"/>
          </w:tcPr>
          <w:p w14:paraId="9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5</w:t>
            </w:r>
          </w:p>
        </w:tc>
      </w:tr>
      <w:tr>
        <w:trPr>
          <w:trHeight w:hRule="atLeast" w:val="562"/>
        </w:trPr>
        <w:tc>
          <w:tcPr>
            <w:tcW w:type="dxa" w:w="55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9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type="dxa" w:w="341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9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Разработка, актуализация, обновление экскурсионных туристических маршрутов, проведение опросов, мониторинг обратной связи.</w:t>
            </w:r>
          </w:p>
        </w:tc>
        <w:tc>
          <w:tcPr>
            <w:tcW w:type="dxa" w:w="2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9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экскурсий</w:t>
            </w:r>
          </w:p>
        </w:tc>
        <w:tc>
          <w:tcPr>
            <w:tcW w:type="dxa" w:w="17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9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left w:type="dxa" w:w="70"/>
              <w:right w:type="dxa" w:w="70"/>
            </w:tcMar>
            <w:vAlign w:val="center"/>
          </w:tcPr>
          <w:p w14:paraId="9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63</w:t>
            </w:r>
          </w:p>
        </w:tc>
      </w:tr>
      <w:tr>
        <w:trPr>
          <w:trHeight w:hRule="atLeast" w:val="562"/>
        </w:trPr>
        <w:tc>
          <w:tcPr>
            <w:tcW w:type="dxa" w:w="55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/>
        </w:tc>
        <w:tc>
          <w:tcPr>
            <w:tcW w:type="dxa" w:w="341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/>
        </w:tc>
        <w:tc>
          <w:tcPr>
            <w:tcW w:type="dxa" w:w="2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9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опросов</w:t>
            </w:r>
          </w:p>
        </w:tc>
        <w:tc>
          <w:tcPr>
            <w:tcW w:type="dxa" w:w="17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left w:type="dxa" w:w="70"/>
              <w:right w:type="dxa" w:w="70"/>
            </w:tcMar>
            <w:vAlign w:val="center"/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12</w:t>
            </w:r>
          </w:p>
        </w:tc>
      </w:tr>
      <w:tr>
        <w:trPr>
          <w:trHeight w:hRule="atLeast" w:val="562"/>
        </w:trPr>
        <w:tc>
          <w:tcPr>
            <w:tcW w:type="dxa" w:w="55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/>
        </w:tc>
        <w:tc>
          <w:tcPr>
            <w:tcW w:type="dxa" w:w="341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/>
        </w:tc>
        <w:tc>
          <w:tcPr>
            <w:tcW w:type="dxa" w:w="2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9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маршрутов</w:t>
            </w:r>
          </w:p>
        </w:tc>
        <w:tc>
          <w:tcPr>
            <w:tcW w:type="dxa" w:w="17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A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left w:type="dxa" w:w="70"/>
              <w:right w:type="dxa" w:w="70"/>
            </w:tcMar>
            <w:vAlign w:val="center"/>
          </w:tcPr>
          <w:p w14:paraId="A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4</w:t>
            </w:r>
          </w:p>
        </w:tc>
      </w:tr>
      <w:tr>
        <w:trPr>
          <w:trHeight w:hRule="atLeast" w:val="562"/>
        </w:trPr>
        <w:tc>
          <w:tcPr>
            <w:tcW w:type="dxa" w:w="55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/>
        </w:tc>
        <w:tc>
          <w:tcPr>
            <w:tcW w:type="dxa" w:w="341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/>
        </w:tc>
        <w:tc>
          <w:tcPr>
            <w:tcW w:type="dxa" w:w="2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A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посетителей</w:t>
            </w:r>
          </w:p>
        </w:tc>
        <w:tc>
          <w:tcPr>
            <w:tcW w:type="dxa" w:w="17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left w:type="dxa" w:w="70"/>
              <w:right w:type="dxa" w:w="70"/>
            </w:tcMar>
            <w:vAlign w:val="center"/>
          </w:tcPr>
          <w:p w14:paraId="A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660</w:t>
            </w:r>
          </w:p>
        </w:tc>
      </w:tr>
      <w:tr>
        <w:trPr>
          <w:trHeight w:hRule="atLeast" w:val="240"/>
        </w:trPr>
        <w:tc>
          <w:tcPr>
            <w:tcW w:type="dxa" w:w="55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A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type="dxa" w:w="341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A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различных премиях, конференциях, конгрессах и т.д. в области туризма.</w:t>
            </w:r>
          </w:p>
        </w:tc>
        <w:tc>
          <w:tcPr>
            <w:tcW w:type="dxa" w:w="2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A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</w:t>
            </w:r>
          </w:p>
        </w:tc>
        <w:tc>
          <w:tcPr>
            <w:tcW w:type="dxa" w:w="17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A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left w:type="dxa" w:w="70"/>
              <w:right w:type="dxa" w:w="70"/>
            </w:tcMar>
            <w:vAlign w:val="center"/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1</w:t>
            </w:r>
          </w:p>
        </w:tc>
      </w:tr>
      <w:tr>
        <w:trPr>
          <w:trHeight w:hRule="atLeast" w:val="240"/>
        </w:trPr>
        <w:tc>
          <w:tcPr>
            <w:tcW w:type="dxa" w:w="55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/>
        </w:tc>
        <w:tc>
          <w:tcPr>
            <w:tcW w:type="dxa" w:w="341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/>
        </w:tc>
        <w:tc>
          <w:tcPr>
            <w:tcW w:type="dxa" w:w="2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A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проектов</w:t>
            </w:r>
          </w:p>
        </w:tc>
        <w:tc>
          <w:tcPr>
            <w:tcW w:type="dxa" w:w="17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A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left w:type="dxa" w:w="70"/>
              <w:right w:type="dxa" w:w="70"/>
            </w:tcMar>
            <w:vAlign w:val="center"/>
          </w:tcPr>
          <w:p w14:paraId="A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1</w:t>
            </w:r>
          </w:p>
        </w:tc>
      </w:tr>
      <w:tr>
        <w:trPr>
          <w:trHeight w:hRule="atLeast" w:val="240"/>
        </w:trPr>
        <w:tc>
          <w:tcPr>
            <w:tcW w:type="dxa" w:w="552"/>
            <w:vMerge w:val="restart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A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type="dxa" w:w="3418"/>
            <w:vMerge w:val="restart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A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малого и среднего предпринимательства, сувенирной и иной продукции.</w:t>
            </w:r>
          </w:p>
        </w:tc>
        <w:tc>
          <w:tcPr>
            <w:tcW w:type="dxa" w:w="2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A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зарегистрированных ИП</w:t>
            </w:r>
          </w:p>
        </w:tc>
        <w:tc>
          <w:tcPr>
            <w:tcW w:type="dxa" w:w="17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B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left w:type="dxa" w:w="70"/>
              <w:right w:type="dxa" w:w="70"/>
            </w:tcMar>
            <w:vAlign w:val="center"/>
          </w:tcPr>
          <w:p w14:paraId="B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354</w:t>
            </w:r>
          </w:p>
        </w:tc>
      </w:tr>
      <w:tr>
        <w:trPr>
          <w:trHeight w:hRule="atLeast" w:val="240"/>
        </w:trPr>
        <w:tc>
          <w:tcPr>
            <w:tcW w:type="dxa" w:w="552"/>
            <w:gridSpan w:val="1"/>
            <w:vMerge w:val="continue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/>
        </w:tc>
        <w:tc>
          <w:tcPr>
            <w:tcW w:type="dxa" w:w="3418"/>
            <w:gridSpan w:val="1"/>
            <w:vMerge w:val="continue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/>
        </w:tc>
        <w:tc>
          <w:tcPr>
            <w:tcW w:type="dxa" w:w="2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B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самозанятых</w:t>
            </w:r>
          </w:p>
        </w:tc>
        <w:tc>
          <w:tcPr>
            <w:tcW w:type="dxa" w:w="17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B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left w:type="dxa" w:w="70"/>
              <w:right w:type="dxa" w:w="70"/>
            </w:tcMar>
            <w:vAlign w:val="center"/>
          </w:tcPr>
          <w:p w14:paraId="B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1636</w:t>
            </w:r>
          </w:p>
        </w:tc>
      </w:tr>
      <w:tr>
        <w:trPr>
          <w:trHeight w:hRule="atLeast" w:val="240"/>
        </w:trPr>
        <w:tc>
          <w:tcPr>
            <w:tcW w:type="dxa" w:w="55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B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type="dxa" w:w="341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B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событийных, спортивных и иных мероприятий в области туризма</w:t>
            </w:r>
          </w:p>
        </w:tc>
        <w:tc>
          <w:tcPr>
            <w:tcW w:type="dxa" w:w="2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B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мероприятий</w:t>
            </w:r>
          </w:p>
        </w:tc>
        <w:tc>
          <w:tcPr>
            <w:tcW w:type="dxa" w:w="17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B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left w:type="dxa" w:w="70"/>
              <w:right w:type="dxa" w:w="70"/>
            </w:tcMar>
            <w:vAlign w:val="center"/>
          </w:tcPr>
          <w:p w14:paraId="B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4</w:t>
            </w:r>
          </w:p>
        </w:tc>
      </w:tr>
      <w:tr>
        <w:trPr>
          <w:trHeight w:hRule="atLeast" w:val="240"/>
        </w:trPr>
        <w:tc>
          <w:tcPr>
            <w:tcW w:type="dxa" w:w="55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/>
        </w:tc>
        <w:tc>
          <w:tcPr>
            <w:tcW w:type="dxa" w:w="341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/>
        </w:tc>
        <w:tc>
          <w:tcPr>
            <w:tcW w:type="dxa" w:w="2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B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посетителей</w:t>
            </w:r>
          </w:p>
        </w:tc>
        <w:tc>
          <w:tcPr>
            <w:tcW w:type="dxa" w:w="17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left w:type="dxa" w:w="70"/>
              <w:right w:type="dxa" w:w="70"/>
            </w:tcMar>
            <w:vAlign w:val="center"/>
          </w:tcPr>
          <w:p w14:paraId="B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38000</w:t>
            </w:r>
          </w:p>
        </w:tc>
      </w:tr>
      <w:tr>
        <w:trPr>
          <w:trHeight w:hRule="atLeast" w:val="240"/>
        </w:trPr>
        <w:tc>
          <w:tcPr>
            <w:tcW w:type="dxa" w:w="552"/>
            <w:vMerge w:val="restart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B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type="dxa" w:w="3418"/>
            <w:vMerge w:val="restart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B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Популяризация туристических объектов Крапивинского района</w:t>
            </w:r>
          </w:p>
        </w:tc>
        <w:tc>
          <w:tcPr>
            <w:tcW w:type="dxa" w:w="2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B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публикаций</w:t>
            </w:r>
          </w:p>
        </w:tc>
        <w:tc>
          <w:tcPr>
            <w:tcW w:type="dxa" w:w="17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C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left w:type="dxa" w:w="70"/>
              <w:right w:type="dxa" w:w="70"/>
            </w:tcMar>
            <w:vAlign w:val="center"/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158</w:t>
            </w:r>
          </w:p>
        </w:tc>
      </w:tr>
      <w:tr>
        <w:trPr>
          <w:trHeight w:hRule="atLeast" w:val="240"/>
        </w:trPr>
        <w:tc>
          <w:tcPr>
            <w:tcW w:type="dxa" w:w="55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/>
        </w:tc>
        <w:tc>
          <w:tcPr>
            <w:tcW w:type="dxa" w:w="341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/>
        </w:tc>
        <w:tc>
          <w:tcPr>
            <w:tcW w:type="dxa" w:w="2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C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наименований/количество экземпляров печатной продукции</w:t>
            </w:r>
          </w:p>
        </w:tc>
        <w:tc>
          <w:tcPr>
            <w:tcW w:type="dxa" w:w="17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C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left w:type="dxa" w:w="70"/>
              <w:right w:type="dxa" w:w="70"/>
            </w:tcMar>
            <w:vAlign w:val="center"/>
          </w:tcPr>
          <w:p w14:paraId="C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7/160</w:t>
            </w:r>
          </w:p>
        </w:tc>
      </w:tr>
      <w:tr>
        <w:trPr>
          <w:trHeight w:hRule="atLeast" w:val="1012"/>
        </w:trPr>
        <w:tc>
          <w:tcPr>
            <w:tcW w:type="dxa" w:w="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70"/>
              <w:right w:type="dxa" w:w="70"/>
            </w:tcMar>
          </w:tcPr>
          <w:p w14:paraId="C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type="dxa" w:w="3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0"/>
              <w:right w:type="dxa" w:w="70"/>
            </w:tcMar>
          </w:tcPr>
          <w:p w14:paraId="C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Ремонт, </w:t>
            </w:r>
            <w:r>
              <w:rPr>
                <w:rFonts w:ascii="Times New Roman" w:hAnsi="Times New Roman"/>
                <w:color w:val="000000"/>
                <w:sz w:val="24"/>
              </w:rPr>
              <w:t>благоустройство памятников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истории, памятников ВОВ, воинский захоронений, скверов и парков.</w:t>
            </w:r>
          </w:p>
        </w:tc>
        <w:tc>
          <w:tcPr>
            <w:tcW w:type="dxa" w:w="2835"/>
            <w:tcBorders>
              <w:top w:color="000000" w:sz="6" w:val="single"/>
              <w:left w:color="000000" w:sz="4" w:val="single"/>
              <w:bottom w:sz="4" w:val="nil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C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волонтеров, принявших участие</w:t>
            </w:r>
          </w:p>
        </w:tc>
        <w:tc>
          <w:tcPr>
            <w:tcW w:type="dxa" w:w="1700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sz="4" w:val="nil"/>
              <w:right w:color="000000" w:sz="4" w:val="single"/>
            </w:tcBorders>
            <w:tcMar>
              <w:left w:type="dxa" w:w="70"/>
              <w:right w:type="dxa" w:w="70"/>
            </w:tcMar>
            <w:vAlign w:val="center"/>
          </w:tcPr>
          <w:p w14:paraId="C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52</w:t>
            </w:r>
          </w:p>
        </w:tc>
      </w:tr>
      <w:tr>
        <w:trPr>
          <w:trHeight w:hRule="atLeast" w:val="240"/>
        </w:trPr>
        <w:tc>
          <w:tcPr>
            <w:tcW w:type="dxa" w:w="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0"/>
              <w:right w:type="dxa" w:w="70"/>
            </w:tcMar>
          </w:tcPr>
          <w:p w14:paraId="C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type="dxa" w:w="3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0"/>
              <w:right w:type="dxa" w:w="70"/>
            </w:tcMar>
          </w:tcPr>
          <w:p w14:paraId="C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Всего туристов, посетивших Крапивинский муниципальный округ</w:t>
            </w:r>
          </w:p>
        </w:tc>
        <w:tc>
          <w:tcPr>
            <w:tcW w:type="dxa" w:w="2835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</w:tcPr>
          <w:p w14:paraId="C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Количество/из них с размещением на ночь</w:t>
            </w:r>
          </w:p>
        </w:tc>
        <w:tc>
          <w:tcPr>
            <w:tcW w:type="dxa" w:w="17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70"/>
              <w:right w:type="dxa" w:w="70"/>
            </w:tcMar>
            <w:vAlign w:val="center"/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</w:p>
        </w:tc>
        <w:tc>
          <w:tcPr>
            <w:tcW w:type="dxa" w:w="1560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left w:type="dxa" w:w="70"/>
              <w:right w:type="dxa" w:w="70"/>
            </w:tcMar>
            <w:vAlign w:val="center"/>
          </w:tcPr>
          <w:p w14:paraId="C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45000/12000</w:t>
            </w:r>
          </w:p>
        </w:tc>
      </w:tr>
    </w:tbl>
    <w:p w14:paraId="CF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sectPr>
      <w:pgSz w:h="16838" w:orient="portrait" w:w="11906"/>
      <w:pgMar w:bottom="851" w:footer="709" w:gutter="0" w:header="709" w:left="1701" w:right="849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ConsPlusTitlePage"/>
    <w:link w:val="Style_12_ch"/>
    <w:pPr>
      <w:widowControl w:val="0"/>
      <w:spacing w:after="0" w:line="240" w:lineRule="auto"/>
      <w:ind/>
    </w:pPr>
    <w:rPr>
      <w:rFonts w:ascii="Tahoma" w:hAnsi="Tahoma"/>
      <w:sz w:val="20"/>
    </w:rPr>
  </w:style>
  <w:style w:styleId="Style_12_ch" w:type="character">
    <w:name w:val="ConsPlusTitlePage"/>
    <w:link w:val="Style_12"/>
    <w:rPr>
      <w:rFonts w:ascii="Tahoma" w:hAnsi="Tahoma"/>
      <w:sz w:val="20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basedOn w:val="Style_16"/>
    <w:link w:val="Style_15_ch"/>
    <w:rPr>
      <w:color w:themeColor="hyperlink" w:val="0563C1"/>
      <w:u w:val="single"/>
    </w:rPr>
  </w:style>
  <w:style w:styleId="Style_15_ch" w:type="character">
    <w:name w:val="Hyperlink"/>
    <w:basedOn w:val="Style_16_ch"/>
    <w:link w:val="Style_15"/>
    <w:rPr>
      <w:color w:themeColor="hyperlink" w:val="0563C1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20" w:type="paragraph">
    <w:name w:val="toc 9"/>
    <w:next w:val="Style_4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Balloon Text"/>
    <w:basedOn w:val="Style_4"/>
    <w:link w:val="Style_21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1_ch" w:type="character">
    <w:name w:val="Balloon Text"/>
    <w:basedOn w:val="Style_4_ch"/>
    <w:link w:val="Style_21"/>
    <w:rPr>
      <w:rFonts w:ascii="Segoe UI" w:hAnsi="Segoe UI"/>
      <w:sz w:val="18"/>
    </w:rPr>
  </w:style>
  <w:style w:styleId="Style_22" w:type="paragraph">
    <w:name w:val="toc 8"/>
    <w:next w:val="Style_4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4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4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ConsPlusTitle"/>
    <w:link w:val="Style_25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25_ch" w:type="character">
    <w:name w:val="ConsPlusTitle"/>
    <w:link w:val="Style_25"/>
    <w:rPr>
      <w:rFonts w:ascii="Calibri" w:hAnsi="Calibri"/>
      <w:b w:val="1"/>
    </w:rPr>
  </w:style>
  <w:style w:styleId="Style_26" w:type="paragraph">
    <w:name w:val="Title"/>
    <w:next w:val="Style_4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1" w:type="paragraph">
    <w:name w:val="ConsPlusNormal"/>
    <w:link w:val="Style_1_ch"/>
    <w:pPr>
      <w:widowControl w:val="0"/>
      <w:spacing w:after="0" w:line="240" w:lineRule="auto"/>
      <w:ind/>
    </w:pPr>
    <w:rPr>
      <w:rFonts w:ascii="Calibri" w:hAnsi="Calibri"/>
    </w:rPr>
  </w:style>
  <w:style w:styleId="Style_1_ch" w:type="character">
    <w:name w:val="ConsPlusNormal"/>
    <w:link w:val="Style_1"/>
    <w:rPr>
      <w:rFonts w:ascii="Calibri" w:hAnsi="Calibri"/>
    </w:rPr>
  </w:style>
  <w:style w:styleId="Style_27" w:type="paragraph">
    <w:name w:val="heading 4"/>
    <w:next w:val="Style_4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4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2025-08-18T07:36:00Z</dcterms:created>
  <dcterms:modified xsi:type="dcterms:W3CDTF">2026-08-25T03:50:49Z</dcterms:modified>
</cp:coreProperties>
</file>