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tabs>
          <w:tab w:leader="none" w:pos="709" w:val="left"/>
        </w:tabs>
        <w:spacing w:before="0" w:line="240" w:lineRule="auto"/>
        <w:ind w:firstLine="0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</w:t>
      </w:r>
    </w:p>
    <w:p w14:paraId="04000000">
      <w:pPr>
        <w:widowControl w:val="0"/>
        <w:tabs>
          <w:tab w:leader="none" w:pos="709" w:val="left"/>
        </w:tabs>
        <w:spacing w:before="0" w:line="240" w:lineRule="auto"/>
        <w:ind w:firstLine="0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постановлению администрации </w:t>
      </w:r>
    </w:p>
    <w:p w14:paraId="05000000">
      <w:pPr>
        <w:widowControl w:val="0"/>
        <w:spacing w:before="0" w:line="240" w:lineRule="auto"/>
        <w:ind w:firstLine="0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Крапивинского муниципального округа</w:t>
      </w:r>
      <w:r>
        <w:rPr>
          <w:rFonts w:ascii="XO Thames" w:hAnsi="XO Thames"/>
          <w:sz w:val="28"/>
        </w:rPr>
        <w:t xml:space="preserve"> </w:t>
      </w:r>
    </w:p>
    <w:p w14:paraId="06000000">
      <w:pPr>
        <w:widowControl w:val="0"/>
        <w:spacing w:before="0" w:line="240" w:lineRule="auto"/>
        <w:ind w:firstLine="0" w:left="0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«30» декабря </w:t>
      </w:r>
      <w:r>
        <w:rPr>
          <w:rFonts w:ascii="XO Thames" w:hAnsi="XO Thames"/>
          <w:sz w:val="28"/>
        </w:rPr>
        <w:t>2025 № 1458</w:t>
      </w:r>
    </w:p>
    <w:p w14:paraId="07000000">
      <w:pPr>
        <w:rPr>
          <w:rFonts w:ascii="XO Thames" w:hAnsi="XO Thames"/>
          <w:sz w:val="28"/>
        </w:rPr>
      </w:pPr>
    </w:p>
    <w:p w14:paraId="08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b w:val="1"/>
          <w:sz w:val="28"/>
        </w:rPr>
        <w:t xml:space="preserve">4. Ресурсное обеспечение реализации муниципальной программы </w:t>
      </w:r>
    </w:p>
    <w:p w14:paraId="09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tbl>
      <w:tblPr>
        <w:tblStyle w:val="Style_3"/>
        <w:tblW w:type="auto" w:w="0"/>
        <w:jc w:val="center"/>
        <w:tblInd w:type="dxa" w:w="11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30"/>
        <w:gridCol w:w="1679"/>
        <w:gridCol w:w="1276"/>
        <w:gridCol w:w="992"/>
        <w:gridCol w:w="939"/>
        <w:gridCol w:w="921"/>
        <w:gridCol w:w="921"/>
      </w:tblGrid>
      <w:tr>
        <w:trPr>
          <w:trHeight w:hRule="atLeast" w:val="238"/>
        </w:trPr>
        <w:tc>
          <w:tcPr>
            <w:tcW w:type="dxa" w:w="25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16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Источник финансирования</w:t>
            </w:r>
          </w:p>
        </w:tc>
        <w:tc>
          <w:tcPr>
            <w:tcW w:type="dxa" w:w="504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Объем финансовых ресурсов,</w:t>
            </w:r>
          </w:p>
          <w:p w14:paraId="0D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тыс. рублей</w:t>
            </w:r>
          </w:p>
        </w:tc>
      </w:tr>
      <w:tr>
        <w:trPr>
          <w:trHeight w:hRule="atLeast" w:val="238"/>
        </w:trPr>
        <w:tc>
          <w:tcPr>
            <w:tcW w:type="dxa" w:w="2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 xml:space="preserve">2023 </w:t>
            </w:r>
          </w:p>
          <w:p w14:paraId="0F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2024 год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2025 год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2026 год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2027 год</w:t>
            </w:r>
          </w:p>
        </w:tc>
      </w:tr>
      <w:tr>
        <w:trPr>
          <w:trHeight w:hRule="atLeast" w:val="238"/>
        </w:trPr>
        <w:tc>
          <w:tcPr>
            <w:tcW w:type="dxa" w:w="2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1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5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7</w:t>
            </w:r>
          </w:p>
        </w:tc>
      </w:tr>
      <w:tr>
        <w:trPr>
          <w:trHeight w:hRule="atLeast" w:val="238"/>
        </w:trPr>
        <w:tc>
          <w:tcPr>
            <w:tcW w:type="dxa" w:w="25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Муниципальная программа «Развитие информационного общества» в Крапивинском муниципальном округе на 2023-2027</w:t>
            </w:r>
            <w:r>
              <w:rPr>
                <w:rFonts w:ascii="XO Thames" w:hAnsi="XO Thames"/>
                <w:color w:val="000000"/>
              </w:rPr>
              <w:t xml:space="preserve"> годы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</w:t>
            </w:r>
            <w:r>
              <w:rPr>
                <w:rFonts w:ascii="XO Thames" w:hAnsi="XO Thames"/>
                <w:color w:val="000000"/>
              </w:rPr>
              <w:t>412,8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4743,8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2871,6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</w:tr>
      <w:tr>
        <w:trPr>
          <w:trHeight w:hRule="atLeast" w:val="238"/>
        </w:trPr>
        <w:tc>
          <w:tcPr>
            <w:tcW w:type="dxa" w:w="2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b w:val="1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</w:t>
            </w:r>
            <w:r>
              <w:rPr>
                <w:rFonts w:ascii="XO Thames" w:hAnsi="XO Thames"/>
                <w:color w:val="000000"/>
              </w:rPr>
              <w:t>412,8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4743,8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2871,6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</w:tr>
      <w:tr>
        <w:trPr>
          <w:trHeight w:hRule="atLeast" w:val="238"/>
        </w:trPr>
        <w:tc>
          <w:tcPr>
            <w:tcW w:type="dxa" w:w="25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 xml:space="preserve">Подпрограмма «Развитие информационно-технической инфраструктуры органов местного самоуправления» 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9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A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</w:t>
            </w:r>
            <w:r>
              <w:rPr>
                <w:rFonts w:ascii="XO Thames" w:hAnsi="XO Thames"/>
                <w:color w:val="000000"/>
              </w:rPr>
              <w:t>412,8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4743,8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2871,6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</w:tr>
      <w:tr>
        <w:trPr>
          <w:trHeight w:hRule="atLeast" w:val="238"/>
        </w:trPr>
        <w:tc>
          <w:tcPr>
            <w:tcW w:type="dxa" w:w="2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</w:t>
            </w:r>
            <w:r>
              <w:rPr>
                <w:rFonts w:ascii="XO Thames" w:hAnsi="XO Thames"/>
                <w:color w:val="000000"/>
              </w:rPr>
              <w:t>412,8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4743,8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2871,6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</w:tr>
      <w:tr>
        <w:trPr>
          <w:trHeight w:hRule="atLeast" w:val="238"/>
        </w:trPr>
        <w:tc>
          <w:tcPr>
            <w:tcW w:type="dxa" w:w="2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 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</w:p>
        </w:tc>
      </w:tr>
      <w:tr>
        <w:trPr>
          <w:trHeight w:hRule="atLeast" w:val="238"/>
        </w:trPr>
        <w:tc>
          <w:tcPr>
            <w:tcW w:type="dxa" w:w="25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Мероприятие 1. Программно-техническое обеспечение рабочих мест органов местного самоуправления</w:t>
            </w:r>
          </w:p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Всего: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</w:t>
            </w:r>
            <w:r>
              <w:rPr>
                <w:rFonts w:ascii="XO Thames" w:hAnsi="XO Thames"/>
                <w:color w:val="000000"/>
              </w:rPr>
              <w:t>412,8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4743,8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2871,6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</w:tr>
      <w:tr>
        <w:trPr>
          <w:trHeight w:hRule="atLeast" w:val="238"/>
        </w:trPr>
        <w:tc>
          <w:tcPr>
            <w:tcW w:type="dxa" w:w="2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</w:t>
            </w:r>
            <w:r>
              <w:rPr>
                <w:rFonts w:ascii="XO Thames" w:hAnsi="XO Thames"/>
                <w:color w:val="000000"/>
              </w:rPr>
              <w:t>412,8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4743,8</w:t>
            </w: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2871,6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3500,0</w:t>
            </w:r>
          </w:p>
        </w:tc>
      </w:tr>
      <w:tr>
        <w:trPr>
          <w:trHeight w:hRule="atLeast" w:val="238"/>
        </w:trPr>
        <w:tc>
          <w:tcPr>
            <w:tcW w:type="dxa" w:w="25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 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9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</w:p>
        </w:tc>
        <w:tc>
          <w:tcPr>
            <w:tcW w:type="dxa" w:w="9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</w:p>
        </w:tc>
      </w:tr>
    </w:tbl>
    <w:p w14:paraId="4E000000">
      <w:pPr>
        <w:widowControl w:val="0"/>
        <w:tabs>
          <w:tab w:leader="none" w:pos="4125" w:val="left"/>
        </w:tabs>
        <w:ind/>
        <w:rPr>
          <w:rFonts w:ascii="XO Thames" w:hAnsi="XO Thames"/>
          <w:sz w:val="28"/>
        </w:rPr>
      </w:pPr>
    </w:p>
    <w:p w14:paraId="4F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0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1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2000000">
      <w:pPr>
        <w:widowControl w:val="0"/>
        <w:tabs>
          <w:tab w:leader="none" w:pos="3165" w:val="left"/>
        </w:tabs>
        <w:spacing w:before="0" w:line="240" w:lineRule="auto"/>
        <w:ind w:firstLine="0" w:left="0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ab/>
      </w:r>
    </w:p>
    <w:p w14:paraId="53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4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5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6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7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8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9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A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5B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5. Сведения о планируемых значениях целевых показателей (индикаторов) муниципальной программы </w:t>
      </w:r>
    </w:p>
    <w:p w14:paraId="5C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tbl>
      <w:tblPr>
        <w:tblStyle w:val="Style_3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21"/>
        <w:gridCol w:w="2085"/>
        <w:gridCol w:w="1292"/>
        <w:gridCol w:w="828"/>
        <w:gridCol w:w="729"/>
        <w:gridCol w:w="705"/>
        <w:gridCol w:w="842"/>
        <w:gridCol w:w="842"/>
      </w:tblGrid>
      <w:tr>
        <w:tc>
          <w:tcPr>
            <w:tcW w:type="dxa" w:w="22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i w:val="1"/>
              </w:rPr>
            </w:pPr>
            <w:r>
              <w:rPr>
                <w:rFonts w:ascii="XO Thames" w:hAnsi="XO Thames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20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i w:val="1"/>
              </w:rPr>
            </w:pPr>
            <w:r>
              <w:rPr>
                <w:rFonts w:ascii="XO Thames" w:hAnsi="XO Thames"/>
              </w:rPr>
              <w:t>Наименование целевого показателя (индикатора)</w:t>
            </w:r>
          </w:p>
        </w:tc>
        <w:tc>
          <w:tcPr>
            <w:tcW w:type="dxa" w:w="12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i w:val="1"/>
              </w:rPr>
            </w:pPr>
            <w:r>
              <w:rPr>
                <w:rFonts w:ascii="XO Thames" w:hAnsi="XO Thames"/>
              </w:rPr>
              <w:t>Единица измерения</w:t>
            </w:r>
          </w:p>
        </w:tc>
        <w:tc>
          <w:tcPr>
            <w:tcW w:type="dxa" w:w="394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Плановое значение показателя</w:t>
            </w:r>
          </w:p>
        </w:tc>
      </w:tr>
      <w:tr>
        <w:tc>
          <w:tcPr>
            <w:tcW w:type="dxa" w:w="22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202</w:t>
            </w:r>
            <w:r>
              <w:rPr>
                <w:rFonts w:ascii="XO Thames" w:hAnsi="XO Thames"/>
                <w:color w:val="000000"/>
              </w:rPr>
              <w:t>3</w:t>
            </w:r>
          </w:p>
          <w:p w14:paraId="62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год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202</w:t>
            </w:r>
            <w:r>
              <w:rPr>
                <w:rFonts w:ascii="XO Thames" w:hAnsi="XO Thames"/>
                <w:color w:val="000000"/>
              </w:rPr>
              <w:t>4</w:t>
            </w:r>
            <w:r>
              <w:rPr>
                <w:rFonts w:ascii="XO Thames" w:hAnsi="XO Thames"/>
                <w:color w:val="000000"/>
              </w:rPr>
              <w:t xml:space="preserve"> год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202</w:t>
            </w:r>
            <w:r>
              <w:rPr>
                <w:rFonts w:ascii="XO Thames" w:hAnsi="XO Thames"/>
                <w:color w:val="000000"/>
              </w:rPr>
              <w:t>5</w:t>
            </w:r>
            <w:r>
              <w:rPr>
                <w:rFonts w:ascii="XO Thames" w:hAnsi="XO Thames"/>
                <w:color w:val="000000"/>
              </w:rPr>
              <w:t xml:space="preserve"> год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202</w:t>
            </w:r>
            <w:r>
              <w:rPr>
                <w:rFonts w:ascii="XO Thames" w:hAnsi="XO Thames"/>
                <w:color w:val="000000"/>
              </w:rPr>
              <w:t>6</w:t>
            </w:r>
            <w:r>
              <w:rPr>
                <w:rFonts w:ascii="XO Thames" w:hAnsi="XO Thames"/>
                <w:color w:val="000000"/>
              </w:rPr>
              <w:t xml:space="preserve"> год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2027</w:t>
            </w:r>
            <w:r>
              <w:rPr>
                <w:rFonts w:ascii="XO Thames" w:hAnsi="XO Thames"/>
                <w:color w:val="000000"/>
              </w:rPr>
              <w:t xml:space="preserve"> год</w:t>
            </w:r>
          </w:p>
        </w:tc>
      </w:tr>
      <w:tr>
        <w:tc>
          <w:tcPr>
            <w:tcW w:type="dxa" w:w="22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type="dxa" w:w="1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4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</w:tr>
      <w:tr>
        <w:tc>
          <w:tcPr>
            <w:tcW w:type="dxa" w:w="22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Подпрограмма «Развитие информационно-технической инфраструктуры органов местного самоуправления»</w:t>
            </w:r>
          </w:p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Доля рабочих мест органов местного самоуправления, обеспеченных программно-техническими средствами</w:t>
            </w:r>
          </w:p>
        </w:tc>
        <w:tc>
          <w:tcPr>
            <w:tcW w:type="dxa" w:w="1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%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  <w:tr>
        <w:tc>
          <w:tcPr>
            <w:tcW w:type="dxa" w:w="22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0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widowControl w:val="0"/>
              <w:spacing w:before="0" w:line="240" w:lineRule="auto"/>
              <w:ind w:firstLine="0" w:lef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Доля компьютеров органов местного самоуправления, подключенных к сети «Интернет»</w:t>
            </w:r>
          </w:p>
        </w:tc>
        <w:tc>
          <w:tcPr>
            <w:tcW w:type="dxa" w:w="1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%</w:t>
            </w:r>
          </w:p>
        </w:tc>
        <w:tc>
          <w:tcPr>
            <w:tcW w:type="dxa" w:w="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type="dxa" w:w="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  <w:tc>
          <w:tcPr>
            <w:tcW w:type="dxa" w:w="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widowControl w:val="0"/>
              <w:spacing w:before="0" w:line="240" w:lineRule="auto"/>
              <w:ind w:firstLine="0" w:lef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100</w:t>
            </w:r>
          </w:p>
        </w:tc>
      </w:tr>
    </w:tbl>
    <w:p w14:paraId="7E000000">
      <w:pPr>
        <w:widowControl w:val="0"/>
        <w:tabs>
          <w:tab w:leader="none" w:pos="4125" w:val="left"/>
        </w:tabs>
        <w:ind/>
        <w:rPr>
          <w:rFonts w:ascii="XO Thames" w:hAnsi="XO Thames"/>
          <w:sz w:val="28"/>
        </w:rPr>
      </w:pPr>
    </w:p>
    <w:p w14:paraId="7F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80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81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82000000">
      <w:pPr>
        <w:widowControl w:val="0"/>
        <w:spacing w:before="0"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83000000">
      <w:pPr>
        <w:widowControl w:val="0"/>
        <w:tabs>
          <w:tab w:leader="none" w:pos="4125" w:val="left"/>
        </w:tabs>
        <w:ind/>
        <w:rPr>
          <w:rFonts w:ascii="XO Thames" w:hAnsi="XO Thames"/>
          <w:sz w:val="28"/>
        </w:rPr>
      </w:pPr>
    </w:p>
    <w:sectPr>
      <w:headerReference r:id="rId1" w:type="even"/>
      <w:pgSz w:h="16848" w:orient="portrait" w:w="11908"/>
      <w:pgMar w:bottom="1134" w:footer="720" w:gutter="0" w:header="720" w:left="1417" w:right="1134" w:top="850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  <w:widowControl w:val="0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before="120" w:line="360" w:lineRule="auto"/>
      <w:ind w:firstLine="680" w:left="0"/>
      <w:jc w:val="both"/>
    </w:pPr>
    <w:rPr>
      <w:rFonts w:ascii="TimesDL" w:hAnsi="TimesDL"/>
      <w:sz w:val="24"/>
    </w:rPr>
  </w:style>
  <w:style w:default="1" w:styleId="Style_4_ch" w:type="character">
    <w:name w:val="Normal"/>
    <w:link w:val="Style_4"/>
    <w:rPr>
      <w:rFonts w:ascii="TimesDL" w:hAnsi="TimesDL"/>
      <w:sz w:val="24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4"/>
    <w:next w:val="Style_4"/>
    <w:link w:val="Style_10_ch"/>
    <w:uiPriority w:val="9"/>
    <w:qFormat/>
    <w:pPr>
      <w:keepNext w:val="1"/>
      <w:widowControl w:val="0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0_ch" w:type="character">
    <w:name w:val="heading 3"/>
    <w:basedOn w:val="Style_4_ch"/>
    <w:link w:val="Style_10"/>
    <w:rPr>
      <w:rFonts w:ascii="Cambria" w:hAnsi="Cambria"/>
      <w:b w:val="1"/>
      <w:sz w:val="26"/>
    </w:rPr>
  </w:style>
  <w:style w:styleId="Style_1" w:type="paragraph">
    <w:name w:val="header"/>
    <w:basedOn w:val="Style_4"/>
    <w:link w:val="Style_1_ch"/>
    <w:pPr>
      <w:widowControl w:val="0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11" w:type="paragraph">
    <w:name w:val="Body Text Indent"/>
    <w:basedOn w:val="Style_4"/>
    <w:link w:val="Style_11_ch"/>
    <w:pPr>
      <w:widowControl w:val="0"/>
      <w:spacing w:before="0" w:line="240" w:lineRule="auto"/>
      <w:ind w:firstLine="709" w:left="0"/>
    </w:pPr>
    <w:rPr>
      <w:rFonts w:ascii="Academy" w:hAnsi="Academy"/>
      <w:color w:val="008080"/>
      <w:sz w:val="28"/>
    </w:rPr>
  </w:style>
  <w:style w:styleId="Style_11_ch" w:type="character">
    <w:name w:val="Body Text Indent"/>
    <w:basedOn w:val="Style_4_ch"/>
    <w:link w:val="Style_11"/>
    <w:rPr>
      <w:rFonts w:ascii="Academy" w:hAnsi="Academy"/>
      <w:color w:val="008080"/>
      <w:sz w:val="28"/>
    </w:rPr>
  </w:style>
  <w:style w:styleId="Style_2" w:type="paragraph">
    <w:name w:val="page number"/>
    <w:basedOn w:val="Style_12"/>
    <w:link w:val="Style_2_ch"/>
  </w:style>
  <w:style w:styleId="Style_2_ch" w:type="character">
    <w:name w:val="page number"/>
    <w:basedOn w:val="Style_12_ch"/>
    <w:link w:val="Style_2"/>
  </w:style>
  <w:style w:styleId="Style_13" w:type="paragraph">
    <w:name w:val="Strong"/>
    <w:link w:val="Style_13_ch"/>
    <w:rPr>
      <w:b w:val="1"/>
    </w:rPr>
  </w:style>
  <w:style w:styleId="Style_13_ch" w:type="character">
    <w:name w:val="Strong"/>
    <w:link w:val="Style_13"/>
    <w:rPr>
      <w:b w:val="1"/>
    </w:rPr>
  </w:style>
  <w:style w:styleId="Style_14" w:type="paragraph">
    <w:name w:val="toc 3"/>
    <w:next w:val="Style_4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Balloon Text"/>
    <w:basedOn w:val="Style_4"/>
    <w:link w:val="Style_15_ch"/>
    <w:pPr>
      <w:widowControl w:val="0"/>
      <w:spacing w:before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Body Text"/>
    <w:basedOn w:val="Style_4"/>
    <w:link w:val="Style_16_ch"/>
    <w:pPr>
      <w:widowControl w:val="0"/>
      <w:spacing w:after="120"/>
      <w:ind/>
    </w:pPr>
  </w:style>
  <w:style w:styleId="Style_16_ch" w:type="character">
    <w:name w:val="Body Text"/>
    <w:basedOn w:val="Style_4_ch"/>
    <w:link w:val="Style_16"/>
  </w:style>
  <w:style w:styleId="Style_17" w:type="paragraph">
    <w:name w:val="heading 5"/>
    <w:next w:val="Style_4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4"/>
    <w:next w:val="Style_4"/>
    <w:link w:val="Style_18_ch"/>
    <w:uiPriority w:val="9"/>
    <w:qFormat/>
    <w:pPr>
      <w:keepNext w:val="1"/>
      <w:widowControl w:val="0"/>
      <w:spacing w:before="0" w:line="240" w:lineRule="auto"/>
      <w:ind w:firstLine="0" w:left="0"/>
      <w:jc w:val="left"/>
      <w:outlineLvl w:val="0"/>
    </w:pPr>
    <w:rPr>
      <w:rFonts w:ascii="Academy" w:hAnsi="Academy"/>
      <w:sz w:val="28"/>
    </w:rPr>
  </w:style>
  <w:style w:styleId="Style_18_ch" w:type="character">
    <w:name w:val="heading 1"/>
    <w:basedOn w:val="Style_4_ch"/>
    <w:link w:val="Style_18"/>
    <w:rPr>
      <w:rFonts w:ascii="Academy" w:hAnsi="Academy"/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footer"/>
    <w:basedOn w:val="Style_4"/>
    <w:link w:val="Style_23_ch"/>
    <w:pPr>
      <w:widowControl w:val="0"/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4_ch"/>
    <w:link w:val="Style_23"/>
  </w:style>
  <w:style w:styleId="Style_24" w:type="paragraph">
    <w:name w:val="toc 9"/>
    <w:next w:val="Style_4"/>
    <w:link w:val="Style_24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заголовок 1"/>
    <w:basedOn w:val="Style_4"/>
    <w:next w:val="Style_4"/>
    <w:link w:val="Style_25_ch"/>
    <w:pPr>
      <w:keepNext w:val="1"/>
      <w:widowControl w:val="0"/>
      <w:spacing w:after="60" w:before="240"/>
      <w:ind/>
    </w:pPr>
    <w:rPr>
      <w:rFonts w:ascii="Helvetica" w:hAnsi="Helvetica"/>
      <w:b w:val="1"/>
      <w:sz w:val="28"/>
    </w:rPr>
  </w:style>
  <w:style w:styleId="Style_25_ch" w:type="character">
    <w:name w:val="заголовок 1"/>
    <w:basedOn w:val="Style_4_ch"/>
    <w:link w:val="Style_25"/>
    <w:rPr>
      <w:rFonts w:ascii="Helvetica" w:hAnsi="Helvetica"/>
      <w:b w:val="1"/>
      <w:sz w:val="28"/>
    </w:rPr>
  </w:style>
  <w:style w:styleId="Style_26" w:type="paragraph">
    <w:name w:val="toc 8"/>
    <w:next w:val="Style_4"/>
    <w:link w:val="Style_2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Table!Таблица"/>
    <w:link w:val="Style_27_ch"/>
    <w:rPr>
      <w:rFonts w:ascii="Arial" w:hAnsi="Arial"/>
      <w:sz w:val="24"/>
    </w:rPr>
  </w:style>
  <w:style w:styleId="Style_27_ch" w:type="character">
    <w:name w:val="Table!Таблица"/>
    <w:link w:val="Style_27"/>
    <w:rPr>
      <w:rFonts w:ascii="Arial" w:hAnsi="Arial"/>
      <w:sz w:val="24"/>
    </w:rPr>
  </w:style>
  <w:style w:styleId="Style_28" w:type="paragraph">
    <w:name w:val="toc 5"/>
    <w:next w:val="Style_4"/>
    <w:link w:val="Style_2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Знак"/>
    <w:basedOn w:val="Style_4"/>
    <w:link w:val="Style_29_ch"/>
    <w:pPr>
      <w:widowControl w:val="0"/>
      <w:tabs>
        <w:tab w:leader="none" w:pos="720" w:val="left"/>
      </w:tabs>
      <w:spacing w:after="160" w:before="0" w:line="240" w:lineRule="exact"/>
      <w:ind w:hanging="720" w:left="720"/>
    </w:pPr>
    <w:rPr>
      <w:rFonts w:ascii="Verdana" w:hAnsi="Verdana"/>
      <w:sz w:val="20"/>
    </w:rPr>
  </w:style>
  <w:style w:styleId="Style_29_ch" w:type="character">
    <w:name w:val="Знак"/>
    <w:basedOn w:val="Style_4_ch"/>
    <w:link w:val="Style_29"/>
    <w:rPr>
      <w:rFonts w:ascii="Verdana" w:hAnsi="Verdana"/>
      <w:sz w:val="20"/>
    </w:rPr>
  </w:style>
  <w:style w:styleId="Style_30" w:type="paragraph">
    <w:name w:val="Subtitle"/>
    <w:basedOn w:val="Style_4"/>
    <w:next w:val="Style_4"/>
    <w:link w:val="Style_30_ch"/>
    <w:uiPriority w:val="11"/>
    <w:qFormat/>
    <w:pPr>
      <w:widowControl w:val="0"/>
      <w:spacing w:after="60"/>
      <w:ind/>
      <w:jc w:val="center"/>
      <w:outlineLvl w:val="1"/>
    </w:pPr>
    <w:rPr>
      <w:rFonts w:ascii="Calibri Light" w:hAnsi="Calibri Light"/>
    </w:rPr>
  </w:style>
  <w:style w:styleId="Style_30_ch" w:type="character">
    <w:name w:val="Subtitle"/>
    <w:basedOn w:val="Style_4_ch"/>
    <w:link w:val="Style_30"/>
    <w:rPr>
      <w:rFonts w:ascii="Calibri Light" w:hAnsi="Calibri Light"/>
    </w:rPr>
  </w:style>
  <w:style w:styleId="Style_31" w:type="paragraph">
    <w:name w:val="Title"/>
    <w:basedOn w:val="Style_4"/>
    <w:link w:val="Style_31_ch"/>
    <w:uiPriority w:val="10"/>
    <w:qFormat/>
    <w:pPr>
      <w:widowControl w:val="0"/>
      <w:spacing w:before="0" w:line="240" w:lineRule="auto"/>
      <w:ind w:firstLine="0" w:left="0"/>
      <w:jc w:val="center"/>
    </w:pPr>
    <w:rPr>
      <w:rFonts w:ascii="Times New Roman" w:hAnsi="Times New Roman"/>
      <w:sz w:val="28"/>
    </w:rPr>
  </w:style>
  <w:style w:styleId="Style_31_ch" w:type="character">
    <w:name w:val="Title"/>
    <w:basedOn w:val="Style_4_ch"/>
    <w:link w:val="Style_31"/>
    <w:rPr>
      <w:rFonts w:ascii="Times New Roman" w:hAnsi="Times New Roman"/>
      <w:sz w:val="28"/>
    </w:rPr>
  </w:style>
  <w:style w:styleId="Style_32" w:type="paragraph">
    <w:name w:val="heading 4"/>
    <w:next w:val="Style_4"/>
    <w:link w:val="Style_3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Body Text Indent 2"/>
    <w:basedOn w:val="Style_4"/>
    <w:link w:val="Style_33_ch"/>
    <w:pPr>
      <w:widowControl w:val="0"/>
      <w:spacing w:after="120" w:line="480" w:lineRule="auto"/>
      <w:ind w:firstLine="0" w:left="283"/>
    </w:pPr>
  </w:style>
  <w:style w:styleId="Style_33_ch" w:type="character">
    <w:name w:val="Body Text Indent 2"/>
    <w:basedOn w:val="Style_4_ch"/>
    <w:link w:val="Style_33"/>
  </w:style>
  <w:style w:styleId="Style_34" w:type="paragraph">
    <w:name w:val="Emphasis"/>
    <w:link w:val="Style_34_ch"/>
    <w:rPr>
      <w:i w:val="1"/>
    </w:rPr>
  </w:style>
  <w:style w:styleId="Style_34_ch" w:type="character">
    <w:name w:val="Emphasis"/>
    <w:link w:val="Style_34"/>
    <w:rPr>
      <w:i w:val="1"/>
    </w:rPr>
  </w:style>
  <w:style w:styleId="Style_35" w:type="paragraph">
    <w:name w:val="heading 2"/>
    <w:next w:val="Style_4"/>
    <w:link w:val="Style_3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Сетка таблицы1"/>
    <w:basedOn w:val="Style_3"/>
    <w:pPr>
      <w:widowControl w:val="0"/>
      <w:ind w:firstLine="709" w:left="0"/>
      <w:jc w:val="both"/>
    </w:pPr>
    <w:rPr>
      <w:sz w:val="28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7" w:type="table">
    <w:name w:val="Table Grid"/>
    <w:basedOn w:val="Style_3"/>
    <w:pPr>
      <w:widowControl w:val="0"/>
      <w:spacing w:before="120" w:line="360" w:lineRule="auto"/>
      <w:ind w:firstLine="680" w:left="0"/>
      <w:jc w:val="both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2025-12-30T09:11:59Z</dcterms:created>
  <dcterms:modified xsi:type="dcterms:W3CDTF">2025-12-30T09:14:13Z</dcterms:modified>
</cp:coreProperties>
</file>