
<file path=[Content_Types].xml><?xml version="1.0" encoding="utf-8"?>
<Types xmlns="http://schemas.openxmlformats.org/package/2006/content-types">
  <Default ContentType="image/x-wmf" Extension="w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2"/>
        <w:widowControl w:val="1"/>
        <w:ind w:firstLine="0" w:left="453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06000000">
      <w:pPr>
        <w:pStyle w:val="Style_2"/>
        <w:widowControl w:val="1"/>
        <w:ind w:firstLine="0" w:left="453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14:paraId="07000000">
      <w:pPr>
        <w:pStyle w:val="Style_2"/>
        <w:widowControl w:val="1"/>
        <w:ind w:firstLine="0" w:left="453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Крапивинского муниципального округа от </w:t>
      </w:r>
      <w:r>
        <w:rPr>
          <w:rFonts w:ascii="Times New Roman" w:hAnsi="Times New Roman"/>
          <w:sz w:val="24"/>
        </w:rPr>
        <w:t>04.06.2025</w:t>
      </w:r>
      <w:r>
        <w:rPr>
          <w:rFonts w:ascii="Times New Roman" w:hAnsi="Times New Roman"/>
          <w:sz w:val="24"/>
        </w:rPr>
        <w:t xml:space="preserve"> № </w:t>
      </w:r>
      <w:r>
        <w:rPr>
          <w:rFonts w:ascii="Times New Roman" w:hAnsi="Times New Roman"/>
          <w:sz w:val="24"/>
        </w:rPr>
        <w:t>640</w:t>
      </w:r>
      <w:bookmarkStart w:id="1" w:name="_GoBack"/>
      <w:bookmarkEnd w:id="1"/>
    </w:p>
    <w:p w14:paraId="08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</w:p>
    <w:p w14:paraId="09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ПОЛОЖЕНИЕ</w:t>
      </w:r>
    </w:p>
    <w:p w14:paraId="0A000000">
      <w:pPr>
        <w:widowControl w:val="0"/>
        <w:spacing w:after="0" w:line="240" w:lineRule="auto"/>
        <w:ind/>
        <w:jc w:val="center"/>
        <w:rPr>
          <w:b w:val="1"/>
        </w:rPr>
      </w:pPr>
      <w:r>
        <w:rPr>
          <w:rFonts w:ascii="Times New Roman" w:hAnsi="Times New Roman"/>
          <w:b w:val="1"/>
          <w:sz w:val="28"/>
        </w:rPr>
        <w:t xml:space="preserve">о порядке разработки и реализации муниципальных программ </w:t>
      </w:r>
    </w:p>
    <w:p w14:paraId="0B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Крапивинского муниципального округа</w:t>
      </w:r>
    </w:p>
    <w:p w14:paraId="0C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D000000">
      <w:pPr>
        <w:pStyle w:val="Style_3"/>
        <w:widowControl w:val="1"/>
        <w:ind/>
        <w:jc w:val="center"/>
        <w:outlineLvl w:val="1"/>
      </w:pPr>
      <w:bookmarkStart w:id="2" w:name="Par43"/>
      <w:bookmarkEnd w:id="2"/>
      <w:r>
        <w:rPr>
          <w:rFonts w:ascii="Times New Roman" w:hAnsi="Times New Roman"/>
          <w:b w:val="0"/>
          <w:sz w:val="28"/>
        </w:rPr>
        <w:t>I. Общие положения</w:t>
      </w:r>
    </w:p>
    <w:p w14:paraId="0E000000">
      <w:pPr>
        <w:pStyle w:val="Style_2"/>
        <w:widowControl w:val="1"/>
        <w:ind/>
        <w:jc w:val="both"/>
        <w:rPr>
          <w:rFonts w:ascii="Times New Roman" w:hAnsi="Times New Roman"/>
          <w:b w:val="1"/>
          <w:sz w:val="28"/>
        </w:rPr>
      </w:pPr>
    </w:p>
    <w:p w14:paraId="0F000000">
      <w:pPr>
        <w:pStyle w:val="Style_2"/>
        <w:widowControl w:val="1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Положение устанавливает правила разработки, реализации и мониторинга муниципальных программ Крапивинского муниципального округа.</w:t>
      </w:r>
    </w:p>
    <w:p w14:paraId="10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Настоящее Положение распространяется на муниципальные программы Крапивинского муниципального округа, включенные в перечень муниципальных программ Крапивинского муниципального округа, утверждаемый постановлением администрации Крапивинского муниципального округа.</w:t>
      </w:r>
    </w:p>
    <w:p w14:paraId="1100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>Основные понятия, используемые в настоящем Положении:</w:t>
      </w:r>
    </w:p>
    <w:p w14:paraId="12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муниципальная программа Крапивинского муниципального округа – 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муниципальной политики, обеспечивающих достижение приоритетов и целей муниципальной политики по соответствующим направлениям социально-экономического развития Крапивинского муниципального округа и обеспечения безопасности населения, в том числе направленных на достижение национальных целей развития Российской Федерации, определенных Указом Президента Российской Федерации от 21.07.2020           № 474 «О национальных целях развития Российской Федерации на период до 2030 года» (далее – национальные цели);</w:t>
      </w:r>
    </w:p>
    <w:p w14:paraId="13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целевой показатель национальной цели – показатель, характеризующий достижение национальной цели, определенный Указом Президента Российской Федерации от 21.07.2020 № 474 «О национальных целях развития Российской Федерации на период до 2030 года»;</w:t>
      </w:r>
    </w:p>
    <w:p w14:paraId="14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цель муниципальной программы – социальный, экономический или иной общественно значимый или общественно понятный эффект от реализации муниципальной программы на момент окончания реализации этой муниципальной программы;</w:t>
      </w:r>
    </w:p>
    <w:p w14:paraId="15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куратор муниципальной программы – заместитель главы Крапивинского муниципального округа по курируемым сферам </w:t>
      </w:r>
      <w:r>
        <w:rPr>
          <w:rFonts w:ascii="Times New Roman" w:hAnsi="Times New Roman"/>
          <w:sz w:val="28"/>
        </w:rPr>
        <w:t>деятельности;</w:t>
      </w:r>
    </w:p>
    <w:p w14:paraId="16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ответственный исполнитель муниципальной программы – структурные подразделения администрации Крапивинского муниципального округа, </w:t>
      </w:r>
      <w:r>
        <w:rPr>
          <w:rFonts w:ascii="Times New Roman" w:hAnsi="Times New Roman"/>
          <w:sz w:val="28"/>
        </w:rPr>
        <w:t>подведомственные ей учреждения</w:t>
      </w:r>
      <w:r>
        <w:rPr>
          <w:rFonts w:ascii="Times New Roman" w:hAnsi="Times New Roman"/>
          <w:sz w:val="28"/>
        </w:rPr>
        <w:t>, ответственные за разработку, реализацию и оценку эффективности муниципальной программы, назначенный куратором муниципальной программы (далее – ответственный исполнитель);</w:t>
      </w:r>
    </w:p>
    <w:p w14:paraId="17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соисполнитель муниципальной программы – структурные подразделения администрации Крапивинского муниципального округа, </w:t>
      </w:r>
      <w:r>
        <w:rPr>
          <w:rFonts w:ascii="Times New Roman" w:hAnsi="Times New Roman"/>
          <w:sz w:val="28"/>
        </w:rPr>
        <w:t>подведомственные ей учреждения</w:t>
      </w:r>
      <w:r>
        <w:rPr>
          <w:rFonts w:ascii="Times New Roman" w:hAnsi="Times New Roman"/>
          <w:sz w:val="28"/>
        </w:rPr>
        <w:t>, представитель которого определен ответственным за разработку и реализацию структурного элемента муниципальной программы;</w:t>
      </w:r>
    </w:p>
    <w:p w14:paraId="18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участник муниципальной программы – структурные подразделения администрации Крапивинского муниципального округа, </w:t>
      </w:r>
      <w:r>
        <w:rPr>
          <w:rFonts w:ascii="Times New Roman" w:hAnsi="Times New Roman"/>
          <w:sz w:val="28"/>
        </w:rPr>
        <w:t>подведомственные ей учреждения</w:t>
      </w:r>
      <w:r>
        <w:rPr>
          <w:rFonts w:ascii="Times New Roman" w:hAnsi="Times New Roman"/>
          <w:sz w:val="28"/>
        </w:rPr>
        <w:t>, представитель которого определен ответственным за разработку и реализацию структурного элемента муниципальной программы, представитель которого определен участвующим в реализации структурного элемента муниципальной программы;</w:t>
      </w:r>
    </w:p>
    <w:p w14:paraId="19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структурный элемент муниципальной программы – региональные проекты, ведомственные региональные проекты, а также комплексы процессных мероприятий;</w:t>
      </w:r>
    </w:p>
    <w:p w14:paraId="1A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задача структурного элемента муниципальной программы – итог деятельности, направленный на достижение изменений в социально-экономической сфере Крапивинского муниципального округа;</w:t>
      </w:r>
    </w:p>
    <w:p w14:paraId="1B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мероприятие (результат) – количественно измеримый итог деятельности, направленный на достижение показателей муниципальной программы и ее структурных элементов, сформулированный в виде завершенного действия по созданию (строительству, приобретению, оснащению, реконструкции и т.п.) определенного количества материальных и нематериальных объектов, предоставлению определенного объема услуг, выполнению определенного объема работ с заданными характеристиками;</w:t>
      </w:r>
    </w:p>
    <w:p w14:paraId="1C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объект – конечный материальный или нематериальный продукт, или услуга, которые планируются к приобретению и (или) получению в рамках выполнения (достижения) мероприятия (результата) структурного элемента муниципальной программы;</w:t>
      </w:r>
    </w:p>
    <w:p w14:paraId="1D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показатель – количественно измеримый параметр, характеризующий достижение целей муниципальной программы, выполнение задач структурного элемента такой программы и отражающий социально-экономические и иные общественно значимые эффекты от реализации муниципальной программы, ее структурного элемента;</w:t>
      </w:r>
    </w:p>
    <w:p w14:paraId="1E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прокси-показатель – дополнительный показатель муниципальной программы или ее структурного элемента, отражающий динамику основного показателя, но имеющий более частую периодичность расчета;</w:t>
      </w:r>
    </w:p>
    <w:p w14:paraId="1F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контрольная точка – документально подтверждаемое событие, отражающее факт завершения значимых действий по выполнению (достижению) мероприятия (результата) структурного элемента муниципальной программы и (или) созданию объекта. </w:t>
      </w:r>
    </w:p>
    <w:p w14:paraId="2000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>В настоящем Положении выделяются следующие типы муниципальных программ Крапивинского муниципального округа:</w:t>
      </w:r>
    </w:p>
    <w:p w14:paraId="21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муниципальная программа Крапивинского муниципального округа, предметом которой является достижение приоритетов и целей государственной политики, в том числе национальных целей, в рамках конкретной отрасли или сферы социально-экономического развития Крапивинского муниципального округа и обеспечение безопасности населения (далее – муниципальная программа);</w:t>
      </w:r>
    </w:p>
    <w:p w14:paraId="22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муниципальная программа Крапивинского муниципального округа, предметом которой является достижение приоритетов и целей государственной политики межотраслевого и (или) территориального характера, в том числе национальных целей, затрагивающих сферы реализации нескольких муниципальных программ (далее – комплексная программа).</w:t>
      </w:r>
    </w:p>
    <w:p w14:paraId="2300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>Разработка и реализация муниципальных программ (комплексных программ) осуществляется исходя из следующих принципов:</w:t>
      </w:r>
    </w:p>
    <w:p w14:paraId="24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а) обеспечение планирования и реализации муниципальных программ (комплексных программ) с учетом необходимости достижения национальных целей и целевых показателей, их характеризующих, а также стратегических целей и приоритетов развития соответствующей отрасли или сферы социально-экономического развития </w:t>
      </w:r>
      <w:r>
        <w:rPr>
          <w:rFonts w:ascii="Times New Roman" w:hAnsi="Times New Roman"/>
          <w:sz w:val="28"/>
        </w:rPr>
        <w:t>Кемеровской области - Кузбасса</w:t>
      </w:r>
      <w:r>
        <w:rPr>
          <w:rFonts w:ascii="Times New Roman" w:hAnsi="Times New Roman"/>
          <w:sz w:val="28"/>
        </w:rPr>
        <w:t xml:space="preserve">, установленных государственными программами </w:t>
      </w:r>
      <w:r>
        <w:rPr>
          <w:rFonts w:ascii="Times New Roman" w:hAnsi="Times New Roman"/>
          <w:sz w:val="28"/>
        </w:rPr>
        <w:t>Кемеровской области - Кузбасса</w:t>
      </w:r>
      <w:r>
        <w:rPr>
          <w:rFonts w:ascii="Times New Roman" w:hAnsi="Times New Roman"/>
          <w:sz w:val="28"/>
        </w:rPr>
        <w:t>;</w:t>
      </w:r>
    </w:p>
    <w:p w14:paraId="25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б) обеспечение достижения целей и приоритетов социально-экономического развития и безопасности населения Крапивинского муниципального округа, установленных документами стратегического планирования;</w:t>
      </w:r>
    </w:p>
    <w:p w14:paraId="26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в) включение в состав муниципальной программы (комплексной программы) всех инструментов и мероприятий в соответствующей отрасли и сфере (включая меры организационного характера, осуществление контрольно-надзорной деятельности, совершенствование нормативного регулирования отрасли, налоговые, таможенные, тарифные, кредитные и иные инструменты);</w:t>
      </w:r>
    </w:p>
    <w:p w14:paraId="27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д) синхронизация муниципальных программ (комплексных программ) с государственными программами </w:t>
      </w:r>
      <w:r>
        <w:rPr>
          <w:rFonts w:ascii="Times New Roman" w:hAnsi="Times New Roman"/>
          <w:sz w:val="28"/>
        </w:rPr>
        <w:t xml:space="preserve">Кемеровской области - </w:t>
      </w:r>
      <w:r>
        <w:rPr>
          <w:rFonts w:ascii="Times New Roman" w:hAnsi="Times New Roman"/>
          <w:sz w:val="28"/>
        </w:rPr>
        <w:t>Кузбасса</w:t>
      </w:r>
      <w:r>
        <w:rPr>
          <w:rFonts w:ascii="Times New Roman" w:hAnsi="Times New Roman"/>
          <w:sz w:val="28"/>
        </w:rPr>
        <w:t xml:space="preserve"> и программами развития (иными программами) муниципальных корпораций, муниципальных компаний и акционерных обществ с государственным участием, влияющими на достижение показателей и выполнение мероприятий (результатов) муниципальных программ (комплексных программ);</w:t>
      </w:r>
    </w:p>
    <w:p w14:paraId="28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е) учет показателей оценки эффективности деятельности главы Крапивинского муниципального округа и </w:t>
      </w:r>
      <w:r>
        <w:rPr>
          <w:rFonts w:ascii="Times New Roman" w:hAnsi="Times New Roman"/>
          <w:sz w:val="28"/>
        </w:rPr>
        <w:t>органов местного самоуправления</w:t>
      </w:r>
      <w:r>
        <w:rPr>
          <w:rFonts w:ascii="Times New Roman" w:hAnsi="Times New Roman"/>
          <w:sz w:val="28"/>
        </w:rPr>
        <w:t xml:space="preserve"> Крапивинского муниципального округа;</w:t>
      </w:r>
    </w:p>
    <w:p w14:paraId="29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ж) выделение в структуре муниципальной программы (комплексной программы):</w:t>
      </w:r>
    </w:p>
    <w:p w14:paraId="2A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проектов,</w:t>
      </w:r>
      <w:r>
        <w:t xml:space="preserve"> </w:t>
      </w:r>
      <w:r>
        <w:rPr>
          <w:rFonts w:ascii="Times New Roman" w:hAnsi="Times New Roman"/>
          <w:sz w:val="28"/>
        </w:rPr>
        <w:t>направленных на получение уникальных результатов в условиях временных и ресурсных ограничений;</w:t>
      </w:r>
    </w:p>
    <w:p w14:paraId="2B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процессных мероприятий, реализуемых непрерывно либо на периодической основе;</w:t>
      </w:r>
    </w:p>
    <w:p w14:paraId="2C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з) закрепление должностного лица, ответственного за реализацию каждого структурного элемента муниципальной программы (комплексной программы).</w:t>
      </w:r>
    </w:p>
    <w:p w14:paraId="2D00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>Муниципальная программа (комплексная программа) утверждается постановлением администрации Крапивинского муниципального округа.</w:t>
      </w:r>
    </w:p>
    <w:p w14:paraId="2E00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>Общественное обсуждение проекта постановления</w:t>
      </w:r>
      <w:r>
        <w:rPr>
          <w:rFonts w:ascii="Times New Roman" w:hAnsi="Times New Roman"/>
          <w:sz w:val="28"/>
        </w:rPr>
        <w:t xml:space="preserve"> администрации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об утверждении муниципальной программы (комплексной программы) осуществляется в соответствии с Правилами общественного обсуждения проектов документов стратегического планирования</w:t>
      </w:r>
      <w:r>
        <w:rPr>
          <w:rFonts w:ascii="Times New Roman" w:hAnsi="Times New Roman"/>
          <w:sz w:val="28"/>
        </w:rPr>
        <w:t xml:space="preserve"> 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, утвержденными постановлением </w:t>
      </w:r>
      <w:r>
        <w:rPr>
          <w:rFonts w:ascii="Times New Roman" w:hAnsi="Times New Roman"/>
          <w:sz w:val="28"/>
        </w:rPr>
        <w:t xml:space="preserve">администрации Крапивинского муниципального </w:t>
      </w:r>
      <w:r>
        <w:rPr>
          <w:rFonts w:ascii="Times New Roman" w:hAnsi="Times New Roman"/>
          <w:sz w:val="28"/>
        </w:rPr>
        <w:t xml:space="preserve">района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14.04.2017 № 299</w:t>
      </w:r>
      <w:r>
        <w:rPr>
          <w:rFonts w:ascii="Times New Roman" w:hAnsi="Times New Roman"/>
          <w:sz w:val="28"/>
        </w:rPr>
        <w:t xml:space="preserve"> «Об </w:t>
      </w:r>
      <w:r>
        <w:rPr>
          <w:rFonts w:ascii="Times New Roman" w:hAnsi="Times New Roman"/>
          <w:sz w:val="28"/>
        </w:rPr>
        <w:t>утверждении Порядка общественного обсуждения проектов документов стратегического планирования Крапивинского муниципального района</w:t>
      </w:r>
      <w:r>
        <w:rPr>
          <w:rFonts w:ascii="Times New Roman" w:hAnsi="Times New Roman"/>
          <w:sz w:val="28"/>
        </w:rPr>
        <w:t>».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14:paraId="2F000000">
      <w:pPr>
        <w:pStyle w:val="Style_2"/>
        <w:widowControl w:val="1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Проекты муниципальных программ (комплексных программ) направляются куратором муниципальной программы (комплексной программы) в финансовое управление администрации Крапивинского муниципального округа и отдел экономического развития администрации Крапивинского муниципального округа для проведения финансово-экономической экспертизы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3000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>Муниципальная программа (комплексная программа), утвержденная постановлением Крапивинского муниципального округа, размещается на официальном сайте Крапивинского муниципального округа в информационно-телекоммуникационной сети «Интернет» в течение 10 рабочих дней со дня официального опубликования постановления Крапивинского муниципального округа об утверждении этой муниципальной программы (комплексной программы).</w:t>
      </w:r>
    </w:p>
    <w:p w14:paraId="31000000">
      <w:pPr>
        <w:pStyle w:val="Style_3"/>
        <w:widowControl w:val="1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II. Требования к структуре и целеполаганию муниципальных</w:t>
      </w:r>
    </w:p>
    <w:p w14:paraId="32000000">
      <w:pPr>
        <w:pStyle w:val="Style_3"/>
        <w:widowControl w:val="1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программ (комплексных программ)</w:t>
      </w:r>
    </w:p>
    <w:p w14:paraId="33000000">
      <w:pPr>
        <w:pStyle w:val="Style_2"/>
        <w:widowControl w:val="1"/>
        <w:ind/>
        <w:jc w:val="both"/>
        <w:rPr>
          <w:rFonts w:ascii="Times New Roman" w:hAnsi="Times New Roman"/>
          <w:b w:val="1"/>
          <w:sz w:val="28"/>
        </w:rPr>
      </w:pPr>
    </w:p>
    <w:p w14:paraId="3400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bookmarkStart w:id="3" w:name="P104"/>
      <w:bookmarkEnd w:id="3"/>
      <w:r>
        <w:rPr>
          <w:rFonts w:ascii="Times New Roman" w:hAnsi="Times New Roman"/>
          <w:sz w:val="28"/>
        </w:rPr>
        <w:t>Муниципальная программа (комплексная программа) содержит:</w:t>
      </w:r>
    </w:p>
    <w:p w14:paraId="35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стратегические приоритеты;</w:t>
      </w:r>
    </w:p>
    <w:p w14:paraId="36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б) паспорт муниципальной программы (комплексной программы);</w:t>
      </w:r>
    </w:p>
    <w:p w14:paraId="37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паспорта структурных элементов муниципальной программы (комплексной программы);</w:t>
      </w:r>
    </w:p>
    <w:p w14:paraId="38000000">
      <w:pPr>
        <w:widowControl w:val="0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</w:t>
      </w:r>
      <w:r>
        <w:rPr>
          <w:rFonts w:ascii="Times New Roman" w:hAnsi="Times New Roman"/>
          <w:sz w:val="28"/>
        </w:rPr>
        <w:t>соглашения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предоставлени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субсидий и иных межбюджетных трансфертов из областного бюджета;</w:t>
      </w:r>
    </w:p>
    <w:p w14:paraId="39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) перечень объектов капитального строительства, мероприятий (укрупненных инвестиционных проектов), объектов недвижимости (при необходимости).</w:t>
      </w:r>
    </w:p>
    <w:p w14:paraId="3A00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 xml:space="preserve">При определении структуры муниципальной программы (комплексной программы) обособляются проектная и процессная части. </w:t>
      </w:r>
    </w:p>
    <w:p w14:paraId="3B00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 xml:space="preserve">В проектную часть муниципальной программы (комплексной программы) в качестве ее структурных элементов рекомендуется включать </w:t>
      </w:r>
      <w:r>
        <w:rPr>
          <w:rFonts w:ascii="Times New Roman" w:hAnsi="Times New Roman"/>
          <w:sz w:val="28"/>
        </w:rPr>
        <w:t>муниципальные</w:t>
      </w:r>
      <w:r>
        <w:rPr>
          <w:rFonts w:ascii="Times New Roman" w:hAnsi="Times New Roman"/>
          <w:sz w:val="28"/>
        </w:rPr>
        <w:t xml:space="preserve"> проекты и ведомственные </w:t>
      </w:r>
      <w:r>
        <w:rPr>
          <w:rFonts w:ascii="Times New Roman" w:hAnsi="Times New Roman"/>
          <w:sz w:val="28"/>
        </w:rPr>
        <w:t>муниципальные</w:t>
      </w:r>
      <w:r>
        <w:rPr>
          <w:rFonts w:ascii="Times New Roman" w:hAnsi="Times New Roman"/>
          <w:sz w:val="28"/>
        </w:rPr>
        <w:t xml:space="preserve"> проекты. </w:t>
      </w:r>
    </w:p>
    <w:p w14:paraId="3C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Муниципальный</w:t>
      </w:r>
      <w:r>
        <w:rPr>
          <w:rFonts w:ascii="Times New Roman" w:hAnsi="Times New Roman"/>
          <w:sz w:val="28"/>
        </w:rPr>
        <w:t xml:space="preserve"> проект обеспечивает достижение и (или) вклад в достижение целей и (или) показателей и мероприятий (результатов) </w:t>
      </w:r>
      <w:r>
        <w:rPr>
          <w:rFonts w:ascii="Times New Roman" w:hAnsi="Times New Roman"/>
          <w:sz w:val="28"/>
        </w:rPr>
        <w:t>регионального</w:t>
      </w:r>
      <w:r>
        <w:rPr>
          <w:rFonts w:ascii="Times New Roman" w:hAnsi="Times New Roman"/>
          <w:sz w:val="28"/>
        </w:rPr>
        <w:t xml:space="preserve"> проекта, входящего в состав национального проекта, и (или) структурных элементов муниципальной программы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, и (или) муниципальной программы. </w:t>
      </w:r>
    </w:p>
    <w:p w14:paraId="3D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Рекомендуется формировать следующие типы </w:t>
      </w:r>
      <w:r>
        <w:rPr>
          <w:rFonts w:ascii="Times New Roman" w:hAnsi="Times New Roman"/>
          <w:sz w:val="28"/>
        </w:rPr>
        <w:t xml:space="preserve">муниципальных </w:t>
      </w:r>
      <w:r>
        <w:rPr>
          <w:rFonts w:ascii="Times New Roman" w:hAnsi="Times New Roman"/>
          <w:sz w:val="28"/>
        </w:rPr>
        <w:t xml:space="preserve">проектов: </w:t>
      </w:r>
    </w:p>
    <w:p w14:paraId="3E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муниципальный</w:t>
      </w:r>
      <w:r>
        <w:rPr>
          <w:rFonts w:ascii="Times New Roman" w:hAnsi="Times New Roman"/>
          <w:sz w:val="28"/>
        </w:rPr>
        <w:t xml:space="preserve"> проект, направленный на достижение целей, показателей и решение задач национального проекта (далее – </w:t>
      </w:r>
      <w:r>
        <w:rPr>
          <w:rFonts w:ascii="Times New Roman" w:hAnsi="Times New Roman"/>
          <w:sz w:val="28"/>
        </w:rPr>
        <w:t>муниципальный</w:t>
      </w:r>
      <w:r>
        <w:rPr>
          <w:rFonts w:ascii="Times New Roman" w:hAnsi="Times New Roman"/>
          <w:sz w:val="28"/>
        </w:rPr>
        <w:t xml:space="preserve"> проект, направленный на достижение </w:t>
      </w:r>
      <w:r>
        <w:rPr>
          <w:rFonts w:ascii="Times New Roman" w:hAnsi="Times New Roman"/>
          <w:sz w:val="28"/>
        </w:rPr>
        <w:t>регионального</w:t>
      </w:r>
      <w:r>
        <w:rPr>
          <w:rFonts w:ascii="Times New Roman" w:hAnsi="Times New Roman"/>
          <w:sz w:val="28"/>
        </w:rPr>
        <w:t xml:space="preserve"> проекта), определяемый, формируемый и реализуемый в соответствии с Положением об организации проектной деятельности в Кемеровской области – Кузбассе, утвержденным постановлением Коллегии Администрации Кемеровской области от 11.12.2018 № 569 «Об организации проектной деятельности в Кемеровской области» (далее – Положение об организации проектной деятельности), и Едиными методическими рекомендациями о подготовке и реализации национальных проектов (программ), федеральных проектов ведомственных проектов, региональных проектов, обеспечивающих достижение показателей и мероприятий (результатов) федеральных проектов, входящих в состав национальных проектов (размещены в открытой части портала государственной автоматизированной </w:t>
      </w:r>
      <w:r>
        <w:rPr>
          <w:rFonts w:ascii="Times New Roman" w:hAnsi="Times New Roman"/>
          <w:sz w:val="28"/>
        </w:rPr>
        <w:t xml:space="preserve">информационной системы «Управление») (далее – Единые методические рекомендации); </w:t>
      </w:r>
    </w:p>
    <w:p w14:paraId="3F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иной </w:t>
      </w:r>
      <w:r>
        <w:rPr>
          <w:rFonts w:ascii="Times New Roman" w:hAnsi="Times New Roman"/>
          <w:sz w:val="28"/>
        </w:rPr>
        <w:t>муниципальный</w:t>
      </w:r>
      <w:r>
        <w:rPr>
          <w:rFonts w:ascii="Times New Roman" w:hAnsi="Times New Roman"/>
          <w:sz w:val="28"/>
        </w:rPr>
        <w:t xml:space="preserve"> проект, не направленный на достижение целей, показателей и решение задач национального проекта (далее – иной региональный проект).</w:t>
      </w:r>
    </w:p>
    <w:p w14:paraId="40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Типы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проектов, указанные в абзацах четвертом, пятом настоящего пункта, включают в себя как мероприятия (результаты), декомпозированные по </w:t>
      </w:r>
      <w:r>
        <w:rPr>
          <w:rFonts w:ascii="Times New Roman" w:hAnsi="Times New Roman"/>
          <w:sz w:val="28"/>
        </w:rPr>
        <w:t>Кемеровской области - Кузбассу</w:t>
      </w:r>
      <w:r>
        <w:rPr>
          <w:rFonts w:ascii="Times New Roman" w:hAnsi="Times New Roman"/>
          <w:sz w:val="28"/>
        </w:rPr>
        <w:t xml:space="preserve"> в паспортах структурных элементов муниципальных программ </w:t>
      </w:r>
      <w:r>
        <w:rPr>
          <w:rFonts w:ascii="Times New Roman" w:hAnsi="Times New Roman"/>
          <w:sz w:val="28"/>
        </w:rPr>
        <w:t>Кемеровской области - Кузбасса</w:t>
      </w:r>
      <w:r>
        <w:rPr>
          <w:rFonts w:ascii="Times New Roman" w:hAnsi="Times New Roman"/>
          <w:sz w:val="28"/>
        </w:rPr>
        <w:t xml:space="preserve">, так и собственные мероприятия (результаты).  </w:t>
      </w:r>
    </w:p>
    <w:p w14:paraId="41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Для иных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проектов, указанных в абзаце пятом настоящего пункта, необязательно формирование соответствующе</w:t>
      </w:r>
      <w:r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региональному</w:t>
      </w:r>
      <w:r>
        <w:rPr>
          <w:rFonts w:ascii="Times New Roman" w:hAnsi="Times New Roman"/>
          <w:sz w:val="28"/>
        </w:rPr>
        <w:t xml:space="preserve"> проекту, не входящему в состав национального проекта, отдельного регионального проекта при наличии декомпозированных мероприятий (результатов) из такого федерального проекта. </w:t>
      </w:r>
    </w:p>
    <w:p w14:paraId="42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ведомственного регионального проекта осуществляется в соответствии с Положением об организации проектной деятельности и Едиными методическими рекомендациями.</w:t>
      </w:r>
    </w:p>
    <w:p w14:paraId="43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В проектную часть рекомендуется включать направления деятельности </w:t>
      </w:r>
      <w:r>
        <w:rPr>
          <w:rFonts w:ascii="Times New Roman" w:hAnsi="Times New Roman"/>
          <w:sz w:val="28"/>
        </w:rPr>
        <w:t>органов местного самоуправления Крапивинского муниципального округа</w:t>
      </w:r>
      <w:r>
        <w:rPr>
          <w:rFonts w:ascii="Times New Roman" w:hAnsi="Times New Roman"/>
          <w:sz w:val="28"/>
        </w:rPr>
        <w:t xml:space="preserve">, в рамках которых предусматривается: </w:t>
      </w:r>
    </w:p>
    <w:p w14:paraId="44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осуществление бюджетных инвестиций в форме капитальных вложений в объекты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собственности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>;</w:t>
      </w:r>
    </w:p>
    <w:p w14:paraId="45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предоставление субсидий на осуществление капитальных вложений в объекты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собственности субъектов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; </w:t>
      </w:r>
    </w:p>
    <w:p w14:paraId="46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) предоставление бюджетных инвестиций и субсидий юридическим лицам; </w:t>
      </w:r>
    </w:p>
    <w:p w14:paraId="47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) выработка предложений по совершенствованию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политики и нормативного регулирования в сфере реализации муниципальной программы (комплексной программы); </w:t>
      </w:r>
    </w:p>
    <w:p w14:paraId="48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) осуществление стимулирующих налоговых расходов; </w:t>
      </w:r>
    </w:p>
    <w:p w14:paraId="49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) предоставление целевых субсидий </w:t>
      </w:r>
      <w:r>
        <w:rPr>
          <w:rFonts w:ascii="Times New Roman" w:hAnsi="Times New Roman"/>
          <w:sz w:val="28"/>
        </w:rPr>
        <w:t xml:space="preserve">муниципальным </w:t>
      </w:r>
      <w:r>
        <w:rPr>
          <w:rFonts w:ascii="Times New Roman" w:hAnsi="Times New Roman"/>
          <w:sz w:val="28"/>
        </w:rPr>
        <w:t>учреждениям в целях осуществления капитальных вложений, операций с недвижимым имуществом, приобретения нефинансовых активов, а также реализации иных мероприятий, отвечающих критериям проектной деятельности.</w:t>
      </w:r>
    </w:p>
    <w:p w14:paraId="4A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При формировании проектной части муниципальной программы (комплексной программы) включаемые в ее состав мероприятия (результаты) должны иметь количественно измеримые итоги их реализации. </w:t>
      </w:r>
    </w:p>
    <w:p w14:paraId="4B00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 xml:space="preserve">В процессную часть муниципальной программы </w:t>
      </w:r>
      <w:r>
        <w:rPr>
          <w:rFonts w:ascii="Times New Roman" w:hAnsi="Times New Roman"/>
          <w:sz w:val="28"/>
        </w:rPr>
        <w:t xml:space="preserve">(комплексной программы) рекомендуется включать комплексы процессных мероприятий.  </w:t>
      </w:r>
    </w:p>
    <w:p w14:paraId="4C000000">
      <w:pPr>
        <w:pStyle w:val="Style_2"/>
        <w:widowControl w:val="1"/>
        <w:ind w:firstLine="709"/>
        <w:jc w:val="both"/>
        <w:rPr>
          <w:highlight w:val="yellow"/>
        </w:rPr>
      </w:pPr>
      <w:r>
        <w:rPr>
          <w:rFonts w:ascii="Times New Roman" w:hAnsi="Times New Roman"/>
          <w:sz w:val="28"/>
        </w:rPr>
        <w:t xml:space="preserve">Комплекс процессных мероприятий представляет собой группу скоординированных мероприятий (результатов), имеющих общую целевую ориентацию и направленных на выполнение функций и решение текущих </w:t>
      </w:r>
      <w:r>
        <w:rPr>
          <w:rFonts w:ascii="Times New Roman" w:hAnsi="Times New Roman"/>
          <w:sz w:val="28"/>
        </w:rPr>
        <w:t xml:space="preserve">задач </w:t>
      </w:r>
      <w:r>
        <w:rPr>
          <w:rFonts w:ascii="Times New Roman" w:hAnsi="Times New Roman"/>
          <w:sz w:val="28"/>
        </w:rPr>
        <w:t xml:space="preserve">органов местного самоуправления </w:t>
      </w:r>
      <w:r>
        <w:rPr>
          <w:rFonts w:ascii="Times New Roman" w:hAnsi="Times New Roman"/>
          <w:sz w:val="28"/>
        </w:rPr>
        <w:t>или подведомственных им учреждений.</w:t>
      </w:r>
    </w:p>
    <w:p w14:paraId="4D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При формировании комплексов процессных мероприятий в рамках муниципальной программы (комплексной программы) рекомендуется отдельно выделять: </w:t>
      </w:r>
    </w:p>
    <w:p w14:paraId="4E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комплекс процессных мероприятий по обеспечению реализации муниципальных функций и полномочий ответственным исполнителем муниципальной программы; </w:t>
      </w:r>
    </w:p>
    <w:p w14:paraId="4F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комплекс процессных мероприятий по обеспечению реализации муниципальных функций и полномочий соисполнителем (участником) муниципальной программы, в случае если </w:t>
      </w:r>
      <w:r>
        <w:rPr>
          <w:rFonts w:ascii="Times New Roman" w:hAnsi="Times New Roman"/>
          <w:sz w:val="28"/>
        </w:rPr>
        <w:t xml:space="preserve">бюджетные ассигнования бюджета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на его содержание предусмотрены в рамках такой программы. </w:t>
      </w:r>
    </w:p>
    <w:p w14:paraId="50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В рамках процессных мероприятий муниципальной программы (комплексной программы) осуществляется реализация направлений деятельности, предусматривающих:</w:t>
      </w:r>
    </w:p>
    <w:p w14:paraId="51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а) выполнение муниципальных заданий на оказание муниципальных услуг;</w:t>
      </w:r>
    </w:p>
    <w:p w14:paraId="52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 xml:space="preserve">) осуществление текущей деятельности муниципальных казенных учреждений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>;</w:t>
      </w:r>
    </w:p>
    <w:p w14:paraId="53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) предоставление целевых субсидий </w:t>
      </w:r>
      <w:r>
        <w:rPr>
          <w:rFonts w:ascii="Times New Roman" w:hAnsi="Times New Roman"/>
          <w:sz w:val="28"/>
        </w:rPr>
        <w:t>муниципальным</w:t>
      </w:r>
      <w:r>
        <w:rPr>
          <w:rFonts w:ascii="Times New Roman" w:hAnsi="Times New Roman"/>
          <w:sz w:val="28"/>
        </w:rPr>
        <w:t xml:space="preserve"> учреждениям </w:t>
      </w:r>
      <w:r>
        <w:rPr>
          <w:rFonts w:ascii="Times New Roman" w:hAnsi="Times New Roman"/>
          <w:sz w:val="28"/>
        </w:rPr>
        <w:t xml:space="preserve">Крапивинского муниципального округа </w:t>
      </w:r>
      <w:r>
        <w:rPr>
          <w:rFonts w:ascii="Times New Roman" w:hAnsi="Times New Roman"/>
          <w:sz w:val="28"/>
        </w:rPr>
        <w:t>(за исключением субсидий, предоставляемых в рамках проектной деятельности);</w:t>
      </w:r>
    </w:p>
    <w:p w14:paraId="54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) оказание мер социальной поддержки отдельным категориям населения (за исключением случаев, когда нормативными правовыми актами Российской Федерации, Кемеровской области – Кузбасса установлен ограниченный период действия соответствующих мер), включая осуществление социальных налоговых расходов;</w:t>
      </w:r>
    </w:p>
    <w:p w14:paraId="55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) обслуживание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долга;</w:t>
      </w:r>
    </w:p>
    <w:p w14:paraId="56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) предоставление субсидий в целях финансового обеспечения исполнения государственного социального заказа на оказание муниципальных услуг в социальной сфере;</w:t>
      </w:r>
    </w:p>
    <w:p w14:paraId="57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) иные направления деятельности.</w:t>
      </w:r>
    </w:p>
    <w:p w14:paraId="58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При формировании процессной части муниципальной программы (комплексной программы) допускается включение мероприятий (результатов), не имеющих количественно измеримых итогов их реализации. </w:t>
      </w:r>
    </w:p>
    <w:p w14:paraId="5900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 xml:space="preserve">В рамках муниципальной программы (комплексной </w:t>
      </w:r>
      <w:r>
        <w:rPr>
          <w:rFonts w:ascii="Times New Roman" w:hAnsi="Times New Roman"/>
          <w:sz w:val="28"/>
        </w:rPr>
        <w:t xml:space="preserve">программы) могут реализовываться отдельные мероприятия, направленные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в текущем финансовом году (далее – отдельные мероприятия). </w:t>
      </w:r>
    </w:p>
    <w:p w14:paraId="5A00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>Муниципальные</w:t>
      </w:r>
      <w:r>
        <w:rPr>
          <w:rFonts w:ascii="Times New Roman" w:hAnsi="Times New Roman"/>
          <w:sz w:val="28"/>
        </w:rPr>
        <w:t xml:space="preserve"> проекты, направленные на достижение </w:t>
      </w:r>
      <w:r>
        <w:rPr>
          <w:rFonts w:ascii="Times New Roman" w:hAnsi="Times New Roman"/>
          <w:sz w:val="28"/>
        </w:rPr>
        <w:t>региональных</w:t>
      </w:r>
      <w:r>
        <w:rPr>
          <w:rFonts w:ascii="Times New Roman" w:hAnsi="Times New Roman"/>
          <w:sz w:val="28"/>
        </w:rPr>
        <w:t xml:space="preserve"> проектов, иные </w:t>
      </w:r>
      <w:r>
        <w:rPr>
          <w:rFonts w:ascii="Times New Roman" w:hAnsi="Times New Roman"/>
          <w:sz w:val="28"/>
        </w:rPr>
        <w:t>муниципальные</w:t>
      </w:r>
      <w:r>
        <w:rPr>
          <w:rFonts w:ascii="Times New Roman" w:hAnsi="Times New Roman"/>
          <w:sz w:val="28"/>
        </w:rPr>
        <w:t xml:space="preserve"> проекты, ведомственные </w:t>
      </w:r>
      <w:r>
        <w:rPr>
          <w:rFonts w:ascii="Times New Roman" w:hAnsi="Times New Roman"/>
          <w:sz w:val="28"/>
        </w:rPr>
        <w:t>муниципальные</w:t>
      </w:r>
      <w:r>
        <w:rPr>
          <w:rFonts w:ascii="Times New Roman" w:hAnsi="Times New Roman"/>
          <w:sz w:val="28"/>
        </w:rPr>
        <w:t xml:space="preserve"> проекты, комплексы процессных мероприятий и отдельные мероприятия при необходимости группируются по направлениям (подпрограммам) муниципальной программы (комплексной программы).</w:t>
      </w:r>
    </w:p>
    <w:p w14:paraId="5B000000">
      <w:pPr>
        <w:pStyle w:val="Style_2"/>
        <w:widowControl w:val="1"/>
        <w:ind w:firstLine="0" w:left="709"/>
        <w:jc w:val="both"/>
        <w:rPr>
          <w:rFonts w:ascii="Times New Roman" w:hAnsi="Times New Roman"/>
          <w:sz w:val="28"/>
        </w:rPr>
      </w:pPr>
    </w:p>
    <w:p w14:paraId="5C000000">
      <w:pPr>
        <w:pStyle w:val="Style_3"/>
        <w:widowControl w:val="1"/>
        <w:ind/>
        <w:jc w:val="center"/>
        <w:outlineLvl w:val="1"/>
      </w:pPr>
      <w:r>
        <w:rPr>
          <w:rFonts w:ascii="Times New Roman" w:hAnsi="Times New Roman"/>
          <w:b w:val="0"/>
          <w:sz w:val="28"/>
        </w:rPr>
        <w:t>III. Требования к содержанию муниципальных программ</w:t>
      </w:r>
    </w:p>
    <w:p w14:paraId="5D000000">
      <w:pPr>
        <w:pStyle w:val="Style_3"/>
        <w:widowControl w:val="1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(комплексных программ)</w:t>
      </w:r>
    </w:p>
    <w:p w14:paraId="5E000000">
      <w:pPr>
        <w:pStyle w:val="Style_2"/>
        <w:widowControl w:val="1"/>
        <w:ind/>
        <w:jc w:val="both"/>
        <w:rPr>
          <w:rFonts w:ascii="Times New Roman" w:hAnsi="Times New Roman"/>
          <w:b w:val="1"/>
          <w:sz w:val="28"/>
        </w:rPr>
      </w:pPr>
    </w:p>
    <w:p w14:paraId="5F00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>Стратегические приоритеты представляют текстовую часть муниципальной программы (комплексной программы).</w:t>
      </w:r>
    </w:p>
    <w:p w14:paraId="60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Стратегические приоритеты – это приоритеты и цели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политики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, в том числе с указанием связи с национальными целями развития и государственными программами </w:t>
      </w:r>
      <w:r>
        <w:rPr>
          <w:rFonts w:ascii="Times New Roman" w:hAnsi="Times New Roman"/>
          <w:sz w:val="28"/>
        </w:rPr>
        <w:t>Кемеровской области - Кузбасса</w:t>
      </w:r>
      <w:r>
        <w:rPr>
          <w:rFonts w:ascii="Times New Roman" w:hAnsi="Times New Roman"/>
          <w:sz w:val="28"/>
        </w:rPr>
        <w:t>.</w:t>
      </w:r>
    </w:p>
    <w:p w14:paraId="61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Стратегические приоритеты муниципальной программы (комплексной программы) включают в себя:</w:t>
      </w:r>
    </w:p>
    <w:p w14:paraId="62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оценку текущего состояния соответствующей сферы социально-экономического развития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>.</w:t>
      </w:r>
    </w:p>
    <w:p w14:paraId="63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В рамках оценки текущего состояния соответствующей сферы социально-экономического развития </w:t>
      </w:r>
      <w:r>
        <w:rPr>
          <w:rFonts w:ascii="Times New Roman" w:hAnsi="Times New Roman"/>
          <w:sz w:val="28"/>
        </w:rPr>
        <w:t xml:space="preserve">Крапивинского муниципального округа </w:t>
      </w:r>
      <w:r>
        <w:rPr>
          <w:rFonts w:ascii="Times New Roman" w:hAnsi="Times New Roman"/>
          <w:sz w:val="28"/>
        </w:rPr>
        <w:t>приводится анализ ее действительного состояния, включая выявление основных проблем, существующих ограничений, выявление потенциала развития сферы реализации муниципальной программы (комплексной программы);</w:t>
      </w:r>
    </w:p>
    <w:p w14:paraId="64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б) описание приоритетов и целей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политики в сфере реализации муниципальной программы (комплексной программы).</w:t>
      </w:r>
    </w:p>
    <w:p w14:paraId="65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При описании приоритетов и целей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политики в сфере реализации муниципальной программы (комплексной программы) </w:t>
      </w:r>
      <w:r>
        <w:rPr>
          <w:rFonts w:ascii="Times New Roman" w:hAnsi="Times New Roman"/>
          <w:sz w:val="28"/>
        </w:rPr>
        <w:t xml:space="preserve">Крапивинского муниципального округа </w:t>
      </w:r>
      <w:r>
        <w:rPr>
          <w:rFonts w:ascii="Times New Roman" w:hAnsi="Times New Roman"/>
          <w:sz w:val="28"/>
        </w:rPr>
        <w:t>учитываются национальные цели, определенные Президентом Российской Федерации, приоритеты социально-экономического развития Кемеровской области – Кузбасса;</w:t>
      </w:r>
    </w:p>
    <w:p w14:paraId="66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в) сведения о взаимосвязи со стратегическими приоритетами, целями и показателями </w:t>
      </w:r>
      <w:r>
        <w:rPr>
          <w:rFonts w:ascii="Times New Roman" w:hAnsi="Times New Roman"/>
          <w:sz w:val="28"/>
        </w:rPr>
        <w:t>государственных</w:t>
      </w:r>
      <w:r>
        <w:rPr>
          <w:rFonts w:ascii="Times New Roman" w:hAnsi="Times New Roman"/>
          <w:sz w:val="28"/>
        </w:rPr>
        <w:t xml:space="preserve"> программ </w:t>
      </w:r>
      <w:r>
        <w:rPr>
          <w:rFonts w:ascii="Times New Roman" w:hAnsi="Times New Roman"/>
          <w:sz w:val="28"/>
        </w:rPr>
        <w:t>Кемеровской области - Кузбасса</w:t>
      </w:r>
      <w:r>
        <w:rPr>
          <w:rFonts w:ascii="Times New Roman" w:hAnsi="Times New Roman"/>
          <w:sz w:val="28"/>
        </w:rPr>
        <w:t xml:space="preserve">; </w:t>
      </w:r>
    </w:p>
    <w:p w14:paraId="67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задачи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управления, способы их эффективного </w:t>
      </w:r>
      <w:r>
        <w:rPr>
          <w:rFonts w:ascii="Times New Roman" w:hAnsi="Times New Roman"/>
          <w:sz w:val="28"/>
        </w:rPr>
        <w:t xml:space="preserve">решения в соответствующей отрасли экономики и сфере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управления.</w:t>
      </w:r>
    </w:p>
    <w:p w14:paraId="68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В рамках описания задач </w:t>
      </w:r>
      <w:r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управления, способов их достижения приводятся основные задачи развития соответствующей сферы реализации муниципальной программы (комплексной программы), предлагаемые механизмы (способы) их достижения (планируемые мероприятия), а также ожидаемые результаты реализации муниципальной программы (комплексной программы) с учетом сферы ответственности и полномочий ответственного исполнителя, соисполнителей и участников муниципальной программы (комплексной программы) и имеющихся финансовых и иных ресурсов.</w:t>
      </w:r>
    </w:p>
    <w:p w14:paraId="69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Сведения представляются в разрезе целей муниципальной программы (комплексной программы) с указанием планируемых значений показателей муниципальной программы (комплексной программы).</w:t>
      </w:r>
    </w:p>
    <w:p w14:paraId="6A000000">
      <w:pPr>
        <w:pStyle w:val="Style_2"/>
        <w:widowControl w:val="1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муниципальной программы (комплексной программы) формируется согласно приложению № 1 к настоящему Положению.</w:t>
      </w:r>
    </w:p>
    <w:p w14:paraId="6B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В паспорте муниципальной программы (комплексной программы) отображаются сведения: </w:t>
      </w:r>
    </w:p>
    <w:p w14:paraId="6C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а) наименование муниципальной программы (комплексной программы); </w:t>
      </w:r>
    </w:p>
    <w:p w14:paraId="6D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б) цели и показатели, их характеристики; </w:t>
      </w:r>
    </w:p>
    <w:p w14:paraId="6E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сроки реализации (с возможностью выделения этапов); </w:t>
      </w:r>
    </w:p>
    <w:p w14:paraId="6F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перечень структурных элементов; </w:t>
      </w:r>
    </w:p>
    <w:p w14:paraId="70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параметры финансового обеспечения за счет всех источников финансирования по годам реализации в целом по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программе (комплексной программе) и с детализацией по ее структурным элементам, а также с указанием общего объема налоговых расходов, предусмотренных в рамках такой программы; </w:t>
      </w:r>
    </w:p>
    <w:p w14:paraId="71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е) сведения о кураторе муниципальной программы, ответственном исполнителе муниципальной программы; </w:t>
      </w:r>
    </w:p>
    <w:p w14:paraId="72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ж) связь с национальными целями, государственными программами </w:t>
      </w:r>
      <w:r>
        <w:rPr>
          <w:rFonts w:ascii="Times New Roman" w:hAnsi="Times New Roman"/>
          <w:sz w:val="28"/>
        </w:rPr>
        <w:t>Кемеровской области - Кузбасса</w:t>
      </w:r>
      <w:r>
        <w:rPr>
          <w:rFonts w:ascii="Times New Roman" w:hAnsi="Times New Roman"/>
          <w:sz w:val="28"/>
        </w:rPr>
        <w:t xml:space="preserve"> (при наличии). </w:t>
      </w:r>
    </w:p>
    <w:p w14:paraId="73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При необходимости в паспорт муниципальной программы (комплексной программы) могут включаться иные сведения. </w:t>
      </w:r>
    </w:p>
    <w:p w14:paraId="7400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>Паспорта структурных элементов муниципальной программы (комплексной программы):</w:t>
      </w:r>
    </w:p>
    <w:p w14:paraId="75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паспорта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проектов, направленных на достижение национальных проектов, формируются в соответствии с Едиными методическими рекомендациями;</w:t>
      </w:r>
    </w:p>
    <w:p w14:paraId="76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паспорта иных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проектов формируются согласно приложению № 2 к настоящему Положению;</w:t>
      </w:r>
    </w:p>
    <w:p w14:paraId="77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паспорта ведомственных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проектов формируются в соответствии с Едиными методическими рекомендациями;</w:t>
      </w:r>
    </w:p>
    <w:p w14:paraId="78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паспорта комплексов процессных мероприятий формируются согласно приложению № 3 к настоящему Положению.</w:t>
      </w:r>
    </w:p>
    <w:p w14:paraId="79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В паспорте структурного элемента муниципальной программы (комплексной программы) отображаются сведения: </w:t>
      </w:r>
    </w:p>
    <w:p w14:paraId="7A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наименование структурного элемента; </w:t>
      </w:r>
    </w:p>
    <w:p w14:paraId="7B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задачи; </w:t>
      </w:r>
    </w:p>
    <w:p w14:paraId="7C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показатели; </w:t>
      </w:r>
    </w:p>
    <w:p w14:paraId="7D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сроки реализации; </w:t>
      </w:r>
    </w:p>
    <w:p w14:paraId="7E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перечень мероприятий (результатов); </w:t>
      </w:r>
    </w:p>
    <w:p w14:paraId="7F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е) параметры финансового обеспечения за счет всех источников по годам реализации в целом по структурному элементу муниципальной программы (комплексной программы), а также с детализацией по его мероприятиям (результатам); </w:t>
      </w:r>
    </w:p>
    <w:p w14:paraId="80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ж) план реализации, включающий информацию о контрольных точках, а также объектах мероприятий (результатов); </w:t>
      </w:r>
    </w:p>
    <w:p w14:paraId="81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з) сведения о кураторе регионального проекта, руководителе (соисполнителе муниципальной программы (комплексной программы), администраторе (при необходимости). </w:t>
      </w:r>
    </w:p>
    <w:p w14:paraId="82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При необходимости в паспорт структурного элемента муниципальной программы (комплексной программы) могут включаться иные сведения. </w:t>
      </w:r>
    </w:p>
    <w:p w14:paraId="83000000">
      <w:pPr>
        <w:pStyle w:val="Style_2"/>
        <w:widowControl w:val="1"/>
        <w:numPr>
          <w:ilvl w:val="0"/>
          <w:numId w:val="1"/>
        </w:numPr>
        <w:tabs>
          <w:tab w:leader="none" w:pos="709" w:val="left"/>
        </w:tabs>
        <w:ind w:firstLine="709" w:left="0"/>
        <w:jc w:val="both"/>
      </w:pPr>
      <w:r>
        <w:rPr>
          <w:rFonts w:ascii="Times New Roman" w:hAnsi="Times New Roman"/>
          <w:sz w:val="28"/>
        </w:rPr>
        <w:t xml:space="preserve">Наименование муниципальной программы (комплексной программы), информация о кураторе муниципальной программы, ответственном исполнителе муниципальной программы и периоде реализации в паспорте муниципальной программы (комплексной программы) приводятся в соответствие с утвержденным </w:t>
      </w:r>
      <w:r>
        <w:rPr>
          <w:rFonts w:ascii="Times New Roman" w:hAnsi="Times New Roman"/>
          <w:sz w:val="28"/>
        </w:rPr>
        <w:t>постановлением администрации Крапивинского муниципального округа</w:t>
      </w:r>
      <w:r>
        <w:rPr>
          <w:rFonts w:ascii="Times New Roman" w:hAnsi="Times New Roman"/>
          <w:sz w:val="28"/>
        </w:rPr>
        <w:t xml:space="preserve"> перечнем муниципальных программ (комплексных программ).</w:t>
      </w:r>
    </w:p>
    <w:p w14:paraId="8400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 xml:space="preserve">Для каждой муниципальной программы (комплексной программы) устанавливается одна или несколько целей, которые должны соответствовать приоритетам и целям социально-экономического развития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в соответствующей сфере.  </w:t>
      </w:r>
    </w:p>
    <w:p w14:paraId="85000000">
      <w:pPr>
        <w:pStyle w:val="Style_2"/>
        <w:widowControl w:val="1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Цели муниципальной программы (комплексной программы) формулируются исходя из критериев: </w:t>
      </w:r>
    </w:p>
    <w:p w14:paraId="86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а) специфичность (цель должна соответствовать сфере реализации муниципальной программы (комплексной программы); </w:t>
      </w:r>
    </w:p>
    <w:p w14:paraId="87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конкретность (не использовать размытые (нечеткие) формулировки, допускающие произвольное или неоднозначное толкование); </w:t>
      </w:r>
    </w:p>
    <w:p w14:paraId="88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в) измеримость (возможность измерения (расчета) прогресса в </w:t>
      </w:r>
      <w:r>
        <w:rPr>
          <w:rFonts w:ascii="Times New Roman" w:hAnsi="Times New Roman"/>
          <w:sz w:val="28"/>
        </w:rPr>
        <w:t xml:space="preserve">достижении цели, в том числе посредством достижения значений связанных показателей); </w:t>
      </w:r>
    </w:p>
    <w:p w14:paraId="89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г) достижимость (цель должна быть достижима за период реализации муниципальной программы (комплексной программы); </w:t>
      </w:r>
    </w:p>
    <w:p w14:paraId="8A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; </w:t>
      </w:r>
    </w:p>
    <w:p w14:paraId="8B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е) релевантность (соответствие формулировки цели конечным социально-экономическим эффектам от реализации муниципальной программы (комплексной программы); </w:t>
      </w:r>
    </w:p>
    <w:p w14:paraId="8C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ж) ограниченность во времени (цель должна быть достигнута к определенному моменту времени).  </w:t>
      </w:r>
    </w:p>
    <w:p w14:paraId="8D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Цель муниципальной программы (комплексной программы) формулируется с указанием целевого значения показателя, отражающего конечный социально-экономический эффект от реализации муниципальной программы (комплексной программы) на момент окончания реализации этой муниципальной программы (комплексной программы). </w:t>
      </w:r>
    </w:p>
    <w:p w14:paraId="8E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Цели муниципальных программ, связанны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с государственными программами </w:t>
      </w:r>
      <w:r>
        <w:rPr>
          <w:rFonts w:ascii="Times New Roman" w:hAnsi="Times New Roman"/>
          <w:sz w:val="28"/>
        </w:rPr>
        <w:t>Кемеровской области - Кузбасса</w:t>
      </w:r>
      <w:r>
        <w:rPr>
          <w:rFonts w:ascii="Times New Roman" w:hAnsi="Times New Roman"/>
          <w:sz w:val="28"/>
        </w:rPr>
        <w:t xml:space="preserve">, следует формулировать в соответствии с целями </w:t>
      </w:r>
      <w:r>
        <w:rPr>
          <w:rFonts w:ascii="Times New Roman" w:hAnsi="Times New Roman"/>
          <w:sz w:val="28"/>
        </w:rPr>
        <w:t>государственных</w:t>
      </w:r>
      <w:r>
        <w:rPr>
          <w:rFonts w:ascii="Times New Roman" w:hAnsi="Times New Roman"/>
          <w:sz w:val="28"/>
        </w:rPr>
        <w:t xml:space="preserve"> программ Российской Федерации. </w:t>
      </w:r>
    </w:p>
    <w:p w14:paraId="8F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Формулировки целей муниципальной программы (комплексной программы) не должны дублировать наименования ее задач, а также мероприятий (результатов), контрольных точек структурных элементов такой программы. </w:t>
      </w:r>
    </w:p>
    <w:p w14:paraId="90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Сформированные цели муниципальной программы (комплексной программы) должны в целом охватывать основные направления реализации государственной политики в соответствующей сфере социально-экономического развития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. </w:t>
      </w:r>
    </w:p>
    <w:p w14:paraId="9100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 xml:space="preserve">При постановке целей муниципальной программы (комплексной программы) необходимо обеспечить возможность проверки и подтверждения их достижения. Для этого для каждой цели муниципальной программы (комплексной программы), а также для каждой задачи ее структурного элемента формируются показатели. </w:t>
      </w:r>
    </w:p>
    <w:p w14:paraId="92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Допускается включение в </w:t>
      </w:r>
      <w:r>
        <w:rPr>
          <w:rFonts w:ascii="Times New Roman" w:hAnsi="Times New Roman"/>
          <w:sz w:val="28"/>
        </w:rPr>
        <w:t>муниципальную</w:t>
      </w:r>
      <w:r>
        <w:rPr>
          <w:rFonts w:ascii="Times New Roman" w:hAnsi="Times New Roman"/>
          <w:sz w:val="28"/>
        </w:rPr>
        <w:t xml:space="preserve"> программу (комплексную программу) комплекса процессных мероприятий, для которых показатели не устанавливаются. </w:t>
      </w:r>
    </w:p>
    <w:p w14:paraId="93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В муниципальных программах (комплексных программах) необходимо учитывать влияние на показатели всех инструментов государственной политики, в том числе применение налоговых льгот, мер тарифного регулирования, мер нормативного регулирования, участия </w:t>
      </w:r>
      <w:r>
        <w:rPr>
          <w:rFonts w:ascii="Times New Roman" w:hAnsi="Times New Roman"/>
          <w:sz w:val="28"/>
        </w:rPr>
        <w:t xml:space="preserve">в управлении организациями и т.п. </w:t>
      </w:r>
    </w:p>
    <w:p w14:paraId="9400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 xml:space="preserve">В перечень показателей муниципальных программ (комплексных программ), показателей ее структурных элементов рекомендуется включать: </w:t>
      </w:r>
    </w:p>
    <w:p w14:paraId="95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показатели, характеризующие достижение национальных целей развития; </w:t>
      </w:r>
    </w:p>
    <w:p w14:paraId="96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б) показатели, соответствующие показателям </w:t>
      </w:r>
      <w:r>
        <w:rPr>
          <w:rFonts w:ascii="Times New Roman" w:hAnsi="Times New Roman"/>
          <w:sz w:val="28"/>
        </w:rPr>
        <w:t xml:space="preserve">муниципальных </w:t>
      </w:r>
      <w:r>
        <w:rPr>
          <w:rFonts w:ascii="Times New Roman" w:hAnsi="Times New Roman"/>
          <w:sz w:val="28"/>
        </w:rPr>
        <w:t xml:space="preserve">программ </w:t>
      </w:r>
      <w:r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, в том числе предусмотренные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программ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, направленных на достижение целей и показателей </w:t>
      </w:r>
      <w:r>
        <w:rPr>
          <w:rFonts w:ascii="Times New Roman" w:hAnsi="Times New Roman"/>
          <w:sz w:val="28"/>
        </w:rPr>
        <w:t>государственной</w:t>
      </w:r>
      <w:r>
        <w:rPr>
          <w:rFonts w:ascii="Times New Roman" w:hAnsi="Times New Roman"/>
          <w:sz w:val="28"/>
        </w:rPr>
        <w:t xml:space="preserve"> программы </w:t>
      </w:r>
      <w:r>
        <w:rPr>
          <w:rFonts w:ascii="Times New Roman" w:hAnsi="Times New Roman"/>
          <w:sz w:val="28"/>
        </w:rPr>
        <w:t>Кемеровской области - Кузбасса</w:t>
      </w:r>
      <w:r>
        <w:rPr>
          <w:rFonts w:ascii="Times New Roman" w:hAnsi="Times New Roman"/>
          <w:sz w:val="28"/>
        </w:rPr>
        <w:t xml:space="preserve"> (далее – нефинансовое соглашение); </w:t>
      </w:r>
    </w:p>
    <w:p w14:paraId="97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показатели приоритетов социально-экономического развития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, определяемые в документах стратегического планирования; </w:t>
      </w:r>
    </w:p>
    <w:p w14:paraId="98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г) показатели уровня удовлетворенности </w:t>
      </w:r>
      <w:r>
        <w:rPr>
          <w:rFonts w:ascii="Times New Roman" w:hAnsi="Times New Roman"/>
          <w:sz w:val="28"/>
        </w:rPr>
        <w:t>жителей Крапивинского муниципального округа</w:t>
      </w:r>
      <w:r>
        <w:rPr>
          <w:rFonts w:ascii="Times New Roman" w:hAnsi="Times New Roman"/>
          <w:sz w:val="28"/>
        </w:rPr>
        <w:t xml:space="preserve"> качеством предоставляемых муниципальных (муниципальных) услуг в соответствующей сфере социально-экономического развития (при необходимости); </w:t>
      </w:r>
    </w:p>
    <w:p w14:paraId="99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показатели для оценки эффективности деятельности </w:t>
      </w:r>
      <w:r>
        <w:rPr>
          <w:rFonts w:ascii="Times New Roman" w:hAnsi="Times New Roman"/>
          <w:sz w:val="28"/>
        </w:rPr>
        <w:t>органов местного самоуправления Крапивинского муниципального округа</w:t>
      </w:r>
      <w:r>
        <w:rPr>
          <w:rFonts w:ascii="Times New Roman" w:hAnsi="Times New Roman"/>
          <w:sz w:val="28"/>
        </w:rPr>
        <w:t xml:space="preserve">. </w:t>
      </w:r>
    </w:p>
    <w:p w14:paraId="9A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Показатели, предусмотренные в заключенном нефинансовом соглашении, отражаются в составе муниципальной программы, ее структурного элемента без изменения их наименований, единиц измерения и значений по годам реализации, установленных таким соглашением. </w:t>
      </w:r>
    </w:p>
    <w:p w14:paraId="9B00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 xml:space="preserve">Показатели, включаемые в </w:t>
      </w:r>
      <w:r>
        <w:rPr>
          <w:rFonts w:ascii="Times New Roman" w:hAnsi="Times New Roman"/>
          <w:sz w:val="28"/>
        </w:rPr>
        <w:t>муниципальную</w:t>
      </w:r>
      <w:r>
        <w:rPr>
          <w:rFonts w:ascii="Times New Roman" w:hAnsi="Times New Roman"/>
          <w:sz w:val="28"/>
        </w:rPr>
        <w:t xml:space="preserve"> программу (комплексную программу), ее структурные элементы, рекомендуется формировать согласно критериям измеримости (</w:t>
      </w:r>
      <w:r>
        <w:rPr>
          <w:rFonts w:ascii="Times New Roman" w:hAnsi="Times New Roman"/>
          <w:sz w:val="28"/>
        </w:rPr>
        <w:t>счетности</w:t>
      </w:r>
      <w:r>
        <w:rPr>
          <w:rFonts w:ascii="Times New Roman" w:hAnsi="Times New Roman"/>
          <w:sz w:val="28"/>
        </w:rPr>
        <w:t xml:space="preserve">) и однократности учета. </w:t>
      </w:r>
    </w:p>
    <w:p w14:paraId="9C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Рекомендуемыми критериями измеримости (</w:t>
      </w:r>
      <w:r>
        <w:rPr>
          <w:rFonts w:ascii="Times New Roman" w:hAnsi="Times New Roman"/>
          <w:sz w:val="28"/>
        </w:rPr>
        <w:t>счетности</w:t>
      </w:r>
      <w:r>
        <w:rPr>
          <w:rFonts w:ascii="Times New Roman" w:hAnsi="Times New Roman"/>
          <w:sz w:val="28"/>
        </w:rPr>
        <w:t xml:space="preserve">) являются: наличие единиц измерения, возможность ежемесячного (при необходимости – ежеквартального) расчета, возможность автоматизации, определение источников данных, верификация достоверности данных, надлежащий охват данных. </w:t>
      </w:r>
    </w:p>
    <w:p w14:paraId="9D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Показатели муниципальной программы (комплексной программы), структурных элементов должны соответствовать одному из следующих условий: </w:t>
      </w:r>
    </w:p>
    <w:p w14:paraId="9E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значения показателей рассчитываются по методикам, принятым международными организациями; </w:t>
      </w:r>
    </w:p>
    <w:p w14:paraId="9F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значения показателей определяются на основе данных официального статистического наблюдения; </w:t>
      </w:r>
    </w:p>
    <w:p w14:paraId="A0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в) значения показателей рассчитываются по методикам, </w:t>
      </w:r>
      <w:r>
        <w:rPr>
          <w:rFonts w:ascii="Times New Roman" w:hAnsi="Times New Roman"/>
          <w:sz w:val="28"/>
        </w:rPr>
        <w:t xml:space="preserve">утвержденным ответственными исполнителями, соисполнителями, участниками муниципальной программы (комплексной программы). </w:t>
      </w:r>
    </w:p>
    <w:p w14:paraId="A1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Методики расчета значений показателей муниципальных программ и их структурных элементов, соответствующих показателям </w:t>
      </w:r>
      <w:r>
        <w:rPr>
          <w:rFonts w:ascii="Times New Roman" w:hAnsi="Times New Roman"/>
          <w:sz w:val="28"/>
        </w:rPr>
        <w:t>государственных</w:t>
      </w:r>
      <w:r>
        <w:rPr>
          <w:rFonts w:ascii="Times New Roman" w:hAnsi="Times New Roman"/>
          <w:sz w:val="28"/>
        </w:rPr>
        <w:t xml:space="preserve"> программ </w:t>
      </w:r>
      <w:r>
        <w:rPr>
          <w:rFonts w:ascii="Times New Roman" w:hAnsi="Times New Roman"/>
          <w:sz w:val="28"/>
        </w:rPr>
        <w:t>Кемеровской области - Кузбасса</w:t>
      </w:r>
      <w:r>
        <w:rPr>
          <w:rFonts w:ascii="Times New Roman" w:hAnsi="Times New Roman"/>
          <w:sz w:val="28"/>
        </w:rPr>
        <w:t xml:space="preserve"> и их структурных элементов, должны соответствовать принятым (утвержденным) на </w:t>
      </w:r>
      <w:r>
        <w:rPr>
          <w:rFonts w:ascii="Times New Roman" w:hAnsi="Times New Roman"/>
          <w:sz w:val="28"/>
        </w:rPr>
        <w:t>региональном</w:t>
      </w:r>
      <w:r>
        <w:rPr>
          <w:rFonts w:ascii="Times New Roman" w:hAnsi="Times New Roman"/>
          <w:sz w:val="28"/>
        </w:rPr>
        <w:t xml:space="preserve"> уровне методикам расчета.  </w:t>
      </w:r>
    </w:p>
    <w:p w14:paraId="A2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Показатели муниципальной программы (комплексной программы) следует приводить по годам реализации (помесячно или поквартально для текущего финансового года или в соответствии с периодичностью официального статистического расчета), сгруппированными по ее целям, с указанием связи с показателями </w:t>
      </w:r>
      <w:r>
        <w:rPr>
          <w:rFonts w:ascii="Times New Roman" w:hAnsi="Times New Roman"/>
          <w:sz w:val="28"/>
        </w:rPr>
        <w:t>государственных программ Кемеровской области – Кузбасса.</w:t>
      </w:r>
      <w:r>
        <w:rPr>
          <w:rFonts w:ascii="Times New Roman" w:hAnsi="Times New Roman"/>
          <w:sz w:val="28"/>
        </w:rPr>
        <w:t xml:space="preserve"> </w:t>
      </w:r>
    </w:p>
    <w:p w14:paraId="A3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текущий год может не осуществляться планирование ежемесячных значений показателей муниципальных программ, ее структурных элементов (по решению куратора) в случаях:</w:t>
      </w:r>
    </w:p>
    <w:p w14:paraId="A4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а) наличия иной периодичности представления данных по показателям в силу законодательства Российской Федерации</w:t>
      </w:r>
      <w:r>
        <w:rPr>
          <w:rFonts w:ascii="Times New Roman" w:hAnsi="Times New Roman"/>
          <w:sz w:val="28"/>
        </w:rPr>
        <w:t xml:space="preserve"> или Кемеровской области – Кузбасса</w:t>
      </w:r>
      <w:r>
        <w:rPr>
          <w:rFonts w:ascii="Times New Roman" w:hAnsi="Times New Roman"/>
          <w:sz w:val="28"/>
        </w:rPr>
        <w:t xml:space="preserve">;  </w:t>
      </w:r>
    </w:p>
    <w:p w14:paraId="A5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определения значений показателей на основании данных международных организаций, фактические значения которых публикуются на ежеквартальной или ежегодной основе;  </w:t>
      </w:r>
    </w:p>
    <w:p w14:paraId="A6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определения значений показателей на основании данных, представляемых коммерческими организациями;</w:t>
      </w:r>
    </w:p>
    <w:p w14:paraId="A7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г) расчета значений показателей, которые связаны с сезонным фактором и (или) жизненным циклом создания объектов или оказанием услуг (наличие дискретного (прерывистого) характера ежемесячных значений показателей). </w:t>
      </w:r>
    </w:p>
    <w:p w14:paraId="A8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В случае невозможности расчета значений показателей муниципальной программы (комплексной программы), показателей ее структурных элементов с учетом установленных сроков представления годовой отчетности необходимо установить прокси-показатели. </w:t>
      </w:r>
    </w:p>
    <w:p w14:paraId="A9000000">
      <w:pPr>
        <w:pStyle w:val="Style_2"/>
        <w:widowControl w:val="1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Обязательными атрибутивными признаками, характеризующими показатели муниципальной программы (комплексной программы) и показатели ее структурных элементов, являются:</w:t>
      </w:r>
    </w:p>
    <w:p w14:paraId="AA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наименование показателя; </w:t>
      </w:r>
    </w:p>
    <w:p w14:paraId="AB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единица измерения показателя (по ОКЕИ); </w:t>
      </w:r>
    </w:p>
    <w:p w14:paraId="AC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базовое значение показателя (с указанием года); </w:t>
      </w:r>
    </w:p>
    <w:p w14:paraId="AD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значение показателя (по годам реализации); </w:t>
      </w:r>
    </w:p>
    <w:p w14:paraId="AE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характеристика планируемой динамики показателя (возрастание или убывание); </w:t>
      </w:r>
    </w:p>
    <w:p w14:paraId="AF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е) метод расчета (накопительный итог или дискретный показатель); </w:t>
      </w:r>
    </w:p>
    <w:p w14:paraId="B0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ж) связь с целью муниципальной программы (комплексной программы), с задачей структурного элемента такой программы, достижение (решение) которой характеризует показатель муниципальной программы (комплексной программы), показатель структурного элемента; </w:t>
      </w:r>
    </w:p>
    <w:p w14:paraId="B1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з) связь с показателем муниципальной программы Российской Федерации и (или) ее структурного элемента. </w:t>
      </w:r>
    </w:p>
    <w:p w14:paraId="B2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В качестве дополнительных атрибутивных признаков, характеризующих показатели муниципальной программы (комплексной программы) и показатели ее структурных элементов, рекомендуется использовать следующие: </w:t>
      </w:r>
    </w:p>
    <w:p w14:paraId="B3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а) уровень показателя; </w:t>
      </w:r>
    </w:p>
    <w:p w14:paraId="B4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ответственный за достижение показателя; </w:t>
      </w:r>
    </w:p>
    <w:p w14:paraId="B5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в) связь с документом стратегического планирования, поручением, иным документом, в соответствии с которым показатель включен в </w:t>
      </w:r>
      <w:r>
        <w:rPr>
          <w:rFonts w:ascii="Times New Roman" w:hAnsi="Times New Roman"/>
          <w:sz w:val="28"/>
        </w:rPr>
        <w:t>муниципальную</w:t>
      </w:r>
      <w:r>
        <w:rPr>
          <w:rFonts w:ascii="Times New Roman" w:hAnsi="Times New Roman"/>
          <w:sz w:val="28"/>
        </w:rPr>
        <w:t xml:space="preserve"> программу (комплексную программу), ее структурный элемент.</w:t>
      </w:r>
    </w:p>
    <w:p w14:paraId="B600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 xml:space="preserve">Достижение целей и показателей, решение задач муниципальной программы (комплексной программы) и ее структурных элементов обеспечивается за счет реализации мероприятий (результатов) структурных элементов такой программы. </w:t>
      </w:r>
    </w:p>
    <w:p w14:paraId="B7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Мероприятия (результаты) группируются по задачам структурных элементов муниципальной программы (комплексной программы). </w:t>
      </w:r>
    </w:p>
    <w:p w14:paraId="B8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Обязательными атрибутивными признаками, характеризующими мероприятия (результаты) структурного элемента муниципальной программы (комплексной программы), являются:</w:t>
      </w:r>
    </w:p>
    <w:p w14:paraId="B9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наименование мероприятия (результата); </w:t>
      </w:r>
    </w:p>
    <w:p w14:paraId="BA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единица измерения мероприятия (результата) (по ОКЕИ); </w:t>
      </w:r>
    </w:p>
    <w:p w14:paraId="BB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базовое значение мероприятия (результата) (с указанием года); </w:t>
      </w:r>
    </w:p>
    <w:p w14:paraId="BC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г) значение мероприятия (результата) (по годам реализации накопительным итогом / дискретно в отчетном периоде); </w:t>
      </w:r>
    </w:p>
    <w:p w14:paraId="BD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тип мероприятия (результата); </w:t>
      </w:r>
    </w:p>
    <w:p w14:paraId="BE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е) связь с показателем муниципальной программы (комплексной программы)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показателем, задачей структурного элемента такой программы. </w:t>
      </w:r>
    </w:p>
    <w:p w14:paraId="BF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В качестве дополнительных атрибутивных признаков, характеризующих мероприятия (результаты) структурного элемента муниципальной программы (комплексной программы), рекомендуется использовать следующие: </w:t>
      </w:r>
    </w:p>
    <w:p w14:paraId="C0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характеристика мероприятия (результата) – краткое описание выполняемой деятельности с указанием дополнительных качественных или количественных параметров мероприятия (результата), не дублирующих его наименование; </w:t>
      </w:r>
    </w:p>
    <w:p w14:paraId="C1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признак реализации в </w:t>
      </w:r>
      <w:r>
        <w:rPr>
          <w:rFonts w:ascii="Times New Roman" w:hAnsi="Times New Roman"/>
          <w:sz w:val="28"/>
        </w:rPr>
        <w:t>Крапивинском муниципальном округе</w:t>
      </w:r>
      <w:r>
        <w:rPr>
          <w:rFonts w:ascii="Times New Roman" w:hAnsi="Times New Roman"/>
          <w:sz w:val="28"/>
        </w:rPr>
        <w:t xml:space="preserve">. </w:t>
      </w:r>
    </w:p>
    <w:p w14:paraId="C2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Для мероприятий (результатов) процессной части муниципальной программы (комплексной программы), а также отдельных мероприятий допускается не устанавливать их значения, а также сроки окончания реализации.</w:t>
      </w:r>
    </w:p>
    <w:p w14:paraId="C300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 xml:space="preserve">В составе структурных элементов муниципальной программы в обязательном порядке отражаются результаты, предусмотренные в заключенном соглашении о предоставлении межбюджетного трансферта из </w:t>
      </w:r>
      <w:r>
        <w:rPr>
          <w:rFonts w:ascii="Times New Roman" w:hAnsi="Times New Roman"/>
          <w:sz w:val="28"/>
        </w:rPr>
        <w:t>областного</w:t>
      </w:r>
      <w:r>
        <w:rPr>
          <w:rFonts w:ascii="Times New Roman" w:hAnsi="Times New Roman"/>
          <w:sz w:val="28"/>
        </w:rPr>
        <w:t xml:space="preserve"> бюджета бюджету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(далее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соглашение). </w:t>
      </w:r>
    </w:p>
    <w:p w14:paraId="C4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Результаты, предусмотренные в соглашении, отражаются в составе структурных элементов муниципальной программы без изменения их наименований, единиц измерения, значений по годам реализации, установленных в таких соглашениях. </w:t>
      </w:r>
    </w:p>
    <w:p w14:paraId="C500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>Мероприятие (результат) структурного элемента муниципальной программы (комплексной программы) должно соответствовать принципам конкретности, точности, достоверности, измеримости (</w:t>
      </w:r>
      <w:r>
        <w:rPr>
          <w:rFonts w:ascii="Times New Roman" w:hAnsi="Times New Roman"/>
          <w:sz w:val="28"/>
        </w:rPr>
        <w:t>счетности</w:t>
      </w:r>
      <w:r>
        <w:rPr>
          <w:rFonts w:ascii="Times New Roman" w:hAnsi="Times New Roman"/>
          <w:sz w:val="28"/>
        </w:rPr>
        <w:t>). Формирование мероприятий (результатов) процессной части муниципальной программы (комплексной программы) может осуществляться без соблюдения указанных принципов.</w:t>
      </w:r>
    </w:p>
    <w:p w14:paraId="C6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мероприятия (результата) структурного элемента муниципальной программы (комплексной программы) должно быть сформулировано в виде завершенного действия, характеризующего в том числе количество создаваемых (приобретаемых) материальных и нематериальных объектов, объем оказываемых услуг или выполняемых работ. </w:t>
      </w:r>
    </w:p>
    <w:p w14:paraId="C7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Наименование мероприятия (результата) структурного элемента муниципальной программы (комплексной программы) не должно: </w:t>
      </w:r>
    </w:p>
    <w:p w14:paraId="C8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дублировать наименование цели, показателя, задачи, иного мероприятия (результата), контрольной точки, объекта мероприятия (результата); </w:t>
      </w:r>
    </w:p>
    <w:p w14:paraId="C9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содержать значение и период достижения; </w:t>
      </w:r>
    </w:p>
    <w:p w14:paraId="CA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содержать указание на два и более мероприятия (результата); </w:t>
      </w:r>
    </w:p>
    <w:p w14:paraId="CB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содержать наименования нормативных правовых актов, иных поручений; </w:t>
      </w:r>
    </w:p>
    <w:p w14:paraId="CC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содержать указания на виды и формы государственной поддержки (субсидии, дотации и др.). </w:t>
      </w:r>
    </w:p>
    <w:p w14:paraId="CD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Мероприятия (результаты) структурного элемента муниципальной программы (комплексной программы) формируются с учетом соблюдения принципа </w:t>
      </w:r>
      <w:r>
        <w:rPr>
          <w:rFonts w:ascii="Times New Roman" w:hAnsi="Times New Roman"/>
          <w:sz w:val="28"/>
        </w:rPr>
        <w:t>прослеживаемости</w:t>
      </w:r>
      <w:r>
        <w:rPr>
          <w:rFonts w:ascii="Times New Roman" w:hAnsi="Times New Roman"/>
          <w:sz w:val="28"/>
        </w:rPr>
        <w:t xml:space="preserve"> финансирования мероприятия (результата) – увязки одного мероприятия (результата) с одним направлением расходов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Формирование мероприятий (результатов) процессной части муниципальной программы может осуществляться без </w:t>
      </w:r>
      <w:r>
        <w:rPr>
          <w:rFonts w:ascii="Times New Roman" w:hAnsi="Times New Roman"/>
          <w:sz w:val="28"/>
        </w:rPr>
        <w:t>соблюдения указанного принципа.</w:t>
      </w:r>
    </w:p>
    <w:p w14:paraId="CE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Планирование сроков выполнения (достижения) мероприятий (результатов) осуществляется с учетом:</w:t>
      </w:r>
    </w:p>
    <w:p w14:paraId="CF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их равномерного распределения в течение календарного года; </w:t>
      </w:r>
    </w:p>
    <w:p w14:paraId="D0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б) сопоставимости со сроками достижения показателей муниципальной программы (комплексной программы) и показателей ее структурных элементов;</w:t>
      </w:r>
    </w:p>
    <w:p w14:paraId="D1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в) установления плановых дат их выполнения (достижения) не позднее дат соответствующих мероприятий (результатов), определенных в структурных элементах </w:t>
      </w:r>
      <w:r>
        <w:rPr>
          <w:rFonts w:ascii="Times New Roman" w:hAnsi="Times New Roman"/>
          <w:sz w:val="28"/>
        </w:rPr>
        <w:t>государственных</w:t>
      </w:r>
      <w:r>
        <w:rPr>
          <w:rFonts w:ascii="Times New Roman" w:hAnsi="Times New Roman"/>
          <w:sz w:val="28"/>
        </w:rPr>
        <w:t xml:space="preserve"> программ </w:t>
      </w:r>
      <w:r>
        <w:rPr>
          <w:rFonts w:ascii="Times New Roman" w:hAnsi="Times New Roman"/>
          <w:sz w:val="28"/>
        </w:rPr>
        <w:t>Кемеровской области - Кузбасса</w:t>
      </w:r>
      <w:r>
        <w:rPr>
          <w:rFonts w:ascii="Times New Roman" w:hAnsi="Times New Roman"/>
          <w:sz w:val="28"/>
        </w:rPr>
        <w:t xml:space="preserve">.  </w:t>
      </w:r>
    </w:p>
    <w:p w14:paraId="D200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 xml:space="preserve">В целях унификации процесса мониторинга хода выполнения (достижения) мероприятий (результатов) структурных элементов муниципальных программ (комплексных программ) каждому мероприятию (результату) следует присваивать тип и соответствующий ему набор контрольных точек, перечень которых определен в Единых методических рекомендациях (для проектной части муниципальной программы (комплексной программы) и согласно приложению № 4 к настоящему Положению для проектной части муниципальной программы (комплексной программы) и согласно приложению № 5 к настоящему Положению для процессной части муниципальной программы (комплексной программы). </w:t>
      </w:r>
    </w:p>
    <w:p w14:paraId="D3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Для мероприятий (результатов) структурных элементов муниципальных программ, декомпозированных по </w:t>
      </w:r>
      <w:r>
        <w:rPr>
          <w:rFonts w:ascii="Times New Roman" w:hAnsi="Times New Roman"/>
          <w:sz w:val="28"/>
        </w:rPr>
        <w:t>Кемеровской области - Кузбассу</w:t>
      </w:r>
      <w:r>
        <w:rPr>
          <w:rFonts w:ascii="Times New Roman" w:hAnsi="Times New Roman"/>
          <w:sz w:val="28"/>
        </w:rPr>
        <w:t xml:space="preserve"> в паспортах структурных элементов </w:t>
      </w:r>
      <w:r>
        <w:rPr>
          <w:rFonts w:ascii="Times New Roman" w:hAnsi="Times New Roman"/>
          <w:sz w:val="28"/>
        </w:rPr>
        <w:t>государственных</w:t>
      </w:r>
      <w:r>
        <w:rPr>
          <w:rFonts w:ascii="Times New Roman" w:hAnsi="Times New Roman"/>
          <w:sz w:val="28"/>
        </w:rPr>
        <w:t xml:space="preserve"> программ </w:t>
      </w:r>
      <w:r>
        <w:rPr>
          <w:rFonts w:ascii="Times New Roman" w:hAnsi="Times New Roman"/>
          <w:sz w:val="28"/>
        </w:rPr>
        <w:t>Кемеровской области - Кузбасса</w:t>
      </w:r>
      <w:r>
        <w:rPr>
          <w:rFonts w:ascii="Times New Roman" w:hAnsi="Times New Roman"/>
          <w:sz w:val="28"/>
        </w:rPr>
        <w:t xml:space="preserve">, в соответствии с Едиными методическими рекомендациями рекомендуется формировать не менее              6 контрольных точек, равномерно распределенных в течение года. </w:t>
      </w:r>
    </w:p>
    <w:p w14:paraId="D4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Для иных мероприятий (результатов) муниципальных программ (комплексных программ) рекомендуемое количество – 4-6 контрольных точек.</w:t>
      </w:r>
    </w:p>
    <w:p w14:paraId="D5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необходимости допускается формирование иных типов мероприятий (результатов) и дополнительных контрольных точек, не предусмотренных перечнем, указанным в абзаце первом настоящего пункта, за исключением мероприятий (результатов), источником финансового обеспечения которых являются межбюджетные трансферты, предоставляемые из федерального бюджета. </w:t>
      </w:r>
    </w:p>
    <w:p w14:paraId="D6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Для мероприятий (результатов) структурных элементов муниципальной программы, предусматривающих </w:t>
      </w:r>
      <w:r>
        <w:rPr>
          <w:rFonts w:ascii="Times New Roman" w:hAnsi="Times New Roman"/>
          <w:sz w:val="28"/>
        </w:rPr>
        <w:t>софинансирование</w:t>
      </w:r>
      <w:r>
        <w:rPr>
          <w:rFonts w:ascii="Times New Roman" w:hAnsi="Times New Roman"/>
          <w:sz w:val="28"/>
        </w:rPr>
        <w:t xml:space="preserve"> за счет средств федерального бюджета, в обязательном порядке предусматриваются специальные контрольные точки, установленные в структурных элементах </w:t>
      </w:r>
      <w:r>
        <w:rPr>
          <w:rFonts w:ascii="Times New Roman" w:hAnsi="Times New Roman"/>
          <w:sz w:val="28"/>
        </w:rPr>
        <w:t>государственной</w:t>
      </w:r>
      <w:r>
        <w:rPr>
          <w:rFonts w:ascii="Times New Roman" w:hAnsi="Times New Roman"/>
          <w:sz w:val="28"/>
        </w:rPr>
        <w:t xml:space="preserve"> программы </w:t>
      </w:r>
      <w:r>
        <w:rPr>
          <w:rFonts w:ascii="Times New Roman" w:hAnsi="Times New Roman"/>
          <w:sz w:val="28"/>
        </w:rPr>
        <w:t>Кемеровской области - Кузбасса</w:t>
      </w:r>
      <w:r>
        <w:rPr>
          <w:rFonts w:ascii="Times New Roman" w:hAnsi="Times New Roman"/>
          <w:sz w:val="28"/>
        </w:rPr>
        <w:t xml:space="preserve">. </w:t>
      </w:r>
    </w:p>
    <w:p w14:paraId="D7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Для отдельных мероприятий (результатов) процессной части муниципальной программы (комплексной программы), а также отдельных мероприятий допускается не устанавливать контрольные точки. </w:t>
      </w:r>
    </w:p>
    <w:p w14:paraId="D800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 xml:space="preserve">Обязательными атрибутивными признаками, характеризующими контрольные точки мероприятий (результатов) структурных элементов муниципальной программы (комплексной программы), являются:  </w:t>
      </w:r>
    </w:p>
    <w:p w14:paraId="D9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наименование контрольной точки; </w:t>
      </w:r>
    </w:p>
    <w:p w14:paraId="DA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б) срок выполнения (в формате </w:t>
      </w:r>
      <w:r>
        <w:rPr>
          <w:rFonts w:ascii="Times New Roman" w:hAnsi="Times New Roman"/>
          <w:sz w:val="28"/>
        </w:rPr>
        <w:t>дд.мм.гггг</w:t>
      </w:r>
      <w:r>
        <w:rPr>
          <w:rFonts w:ascii="Times New Roman" w:hAnsi="Times New Roman"/>
          <w:sz w:val="28"/>
        </w:rPr>
        <w:t xml:space="preserve">); </w:t>
      </w:r>
    </w:p>
    <w:p w14:paraId="DB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в) ответственный исполнитель (с указанием Ф.И.О., организации и должности); </w:t>
      </w:r>
    </w:p>
    <w:p w14:paraId="DC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вид документа, подтверждающего выполнение контрольной точки. </w:t>
      </w:r>
    </w:p>
    <w:p w14:paraId="DD000000">
      <w:pPr>
        <w:pStyle w:val="Style_2"/>
        <w:widowControl w:val="1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Формулировки контрольных точек должны отражать факт завершения промежуточного результата или иного значимого действия по выполнению мероприятия (достижению результата). </w:t>
      </w:r>
    </w:p>
    <w:p w14:paraId="DE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Планирование сроков достижения контрольных точек осуществляется с учетом: </w:t>
      </w:r>
    </w:p>
    <w:p w14:paraId="DF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их равномерного распределения в течение календарного года; </w:t>
      </w:r>
    </w:p>
    <w:p w14:paraId="E0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б) их сопоставимости со сроками выполнения (достижения) мероприятий (результатов) структурных элементов муниципальной программы (комплексной программы); </w:t>
      </w:r>
    </w:p>
    <w:p w14:paraId="E1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в) установления плановых дат их выполнения не позднее дат соответствующих контрольных точек, определенных в структурных элементах </w:t>
      </w:r>
      <w:r>
        <w:rPr>
          <w:rFonts w:ascii="Times New Roman" w:hAnsi="Times New Roman"/>
          <w:sz w:val="28"/>
        </w:rPr>
        <w:t>государственных</w:t>
      </w:r>
      <w:r>
        <w:rPr>
          <w:rFonts w:ascii="Times New Roman" w:hAnsi="Times New Roman"/>
          <w:sz w:val="28"/>
        </w:rPr>
        <w:t xml:space="preserve"> программ </w:t>
      </w:r>
      <w:r>
        <w:rPr>
          <w:rFonts w:ascii="Times New Roman" w:hAnsi="Times New Roman"/>
          <w:sz w:val="28"/>
        </w:rPr>
        <w:t xml:space="preserve">Кемеровской области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Кузбасса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для мероприятий (результатов) </w:t>
      </w:r>
      <w:r>
        <w:rPr>
          <w:rFonts w:ascii="Times New Roman" w:hAnsi="Times New Roman"/>
          <w:sz w:val="28"/>
        </w:rPr>
        <w:t>государственной</w:t>
      </w:r>
      <w:r>
        <w:rPr>
          <w:rFonts w:ascii="Times New Roman" w:hAnsi="Times New Roman"/>
          <w:sz w:val="28"/>
        </w:rPr>
        <w:t xml:space="preserve"> программы, предусматривающих </w:t>
      </w:r>
      <w:r>
        <w:rPr>
          <w:rFonts w:ascii="Times New Roman" w:hAnsi="Times New Roman"/>
          <w:sz w:val="28"/>
        </w:rPr>
        <w:t>софинансирование</w:t>
      </w:r>
      <w:r>
        <w:rPr>
          <w:rFonts w:ascii="Times New Roman" w:hAnsi="Times New Roman"/>
          <w:sz w:val="28"/>
        </w:rPr>
        <w:t xml:space="preserve"> за счет средств федерального бюджета).  </w:t>
      </w:r>
    </w:p>
    <w:p w14:paraId="E2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Не допускается наличие у мероприятия (результата) структурного элемента муниципальной программы (комплексной программы) только одной контрольной точки со сроком наступления 31 декабря, а также преобладание наибольшего количества контрольных точек в четвертом квартале года. </w:t>
      </w:r>
    </w:p>
    <w:p w14:paraId="E300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 xml:space="preserve">Мероприятия (результаты) структурных элементов муниципальной программы (комплексной программы), источником финансового обеспечения которых являются межбюджетные трансферты, предоставляемые из федерального бюджета, рекомендуется декомпозировать до конкретных объектов и их контрольных точек. </w:t>
      </w:r>
    </w:p>
    <w:p w14:paraId="E400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 xml:space="preserve">Информация о мероприятиях (результатах) структурного элемента муниципальной программы (комплексной программы) с детализацией до контрольных точек отражается в плане реализации такого структурного элемента муниципальной программы (комплексной </w:t>
      </w:r>
      <w:r>
        <w:rPr>
          <w:rFonts w:ascii="Times New Roman" w:hAnsi="Times New Roman"/>
          <w:sz w:val="28"/>
        </w:rPr>
        <w:t xml:space="preserve">программы). </w:t>
      </w:r>
    </w:p>
    <w:p w14:paraId="E5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План реализации структурного элемента муниципальной программы (комплексной программы) разрабатывается на весь срок реализации структурного элемента муниципальной программы (комплексной программы) (с возможностью актуализации и </w:t>
      </w:r>
      <w:r>
        <w:rPr>
          <w:rFonts w:ascii="Times New Roman" w:hAnsi="Times New Roman"/>
          <w:sz w:val="28"/>
        </w:rPr>
        <w:t>допланирования</w:t>
      </w:r>
      <w:r>
        <w:rPr>
          <w:rFonts w:ascii="Times New Roman" w:hAnsi="Times New Roman"/>
          <w:sz w:val="28"/>
        </w:rPr>
        <w:t>) и подлежит включению в паспорт такого структурного элемента.</w:t>
      </w:r>
    </w:p>
    <w:p w14:paraId="E6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E7000000">
      <w:pPr>
        <w:pStyle w:val="Style_3"/>
        <w:widowControl w:val="1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IV. Финансовое обеспечение реализации муниципальных программ (комплексных программ)</w:t>
      </w:r>
    </w:p>
    <w:p w14:paraId="E8000000">
      <w:pPr>
        <w:pStyle w:val="Style_3"/>
        <w:widowControl w:val="1"/>
        <w:ind/>
        <w:jc w:val="center"/>
        <w:outlineLvl w:val="1"/>
        <w:rPr>
          <w:rFonts w:ascii="Times New Roman" w:hAnsi="Times New Roman"/>
          <w:b w:val="0"/>
          <w:sz w:val="28"/>
        </w:rPr>
      </w:pPr>
    </w:p>
    <w:p w14:paraId="E900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bookmarkStart w:id="4" w:name="P232"/>
      <w:bookmarkEnd w:id="4"/>
      <w:r>
        <w:rPr>
          <w:rFonts w:ascii="Times New Roman" w:hAnsi="Times New Roman"/>
          <w:sz w:val="28"/>
        </w:rPr>
        <w:t xml:space="preserve">Параметры финансового обеспечения муниципальных программ (комплексных программ) на период их действия планируются исходя из необходимости достижения целей и приоритетов социально-экономического развития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. </w:t>
      </w:r>
    </w:p>
    <w:p w14:paraId="EA000000">
      <w:pPr>
        <w:pStyle w:val="Style_4"/>
        <w:widowControl w:val="1"/>
        <w:spacing w:after="0" w:before="0" w:line="288" w:lineRule="atLeast"/>
        <w:ind w:firstLine="540"/>
        <w:jc w:val="both"/>
        <w:rPr>
          <w:sz w:val="28"/>
        </w:rPr>
      </w:pPr>
      <w:r>
        <w:rPr>
          <w:sz w:val="28"/>
        </w:rPr>
        <w:t xml:space="preserve">Параметры финансового обеспечения государственных программ (комплексных программ) согласовываются </w:t>
      </w:r>
      <w:r>
        <w:rPr>
          <w:sz w:val="28"/>
        </w:rPr>
        <w:t>финансовым управлением администрации Крапивинского муниципального округа</w:t>
      </w:r>
      <w:r>
        <w:rPr>
          <w:sz w:val="28"/>
        </w:rPr>
        <w:t xml:space="preserve"> в государственной интегрированной информационной системе управления общественными финансами "Электронный бюджет".</w:t>
      </w:r>
    </w:p>
    <w:p w14:paraId="EB000000">
      <w:pPr>
        <w:pStyle w:val="Style_2"/>
        <w:widowControl w:val="1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Источниками финансового обеспечения муниципальной программы (комплексной программы) являются: </w:t>
      </w:r>
    </w:p>
    <w:p w14:paraId="EC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областной</w:t>
      </w:r>
      <w:r>
        <w:rPr>
          <w:rFonts w:ascii="Times New Roman" w:hAnsi="Times New Roman"/>
          <w:sz w:val="28"/>
        </w:rPr>
        <w:t xml:space="preserve"> бюджет, в том числе: </w:t>
      </w:r>
    </w:p>
    <w:p w14:paraId="ED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бюджет (</w:t>
      </w:r>
      <w:r>
        <w:rPr>
          <w:rFonts w:ascii="Times New Roman" w:hAnsi="Times New Roman"/>
          <w:sz w:val="28"/>
        </w:rPr>
        <w:t>справочно</w:t>
      </w:r>
      <w:r>
        <w:rPr>
          <w:rFonts w:ascii="Times New Roman" w:hAnsi="Times New Roman"/>
          <w:sz w:val="28"/>
        </w:rPr>
        <w:t>);</w:t>
      </w:r>
    </w:p>
    <w:p w14:paraId="EE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местный бюджет;</w:t>
      </w:r>
    </w:p>
    <w:p w14:paraId="EF00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внебюджетные источники. </w:t>
      </w:r>
    </w:p>
    <w:p w14:paraId="F000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 xml:space="preserve">Распределение бюджетных ассигнований на реализацию муниципальных программ утверждается </w:t>
      </w:r>
      <w:r>
        <w:rPr>
          <w:rFonts w:ascii="Times New Roman" w:hAnsi="Times New Roman"/>
          <w:sz w:val="28"/>
        </w:rPr>
        <w:t>Решением Совета народных депутатов Крапивинского муниципального округа о</w:t>
      </w:r>
      <w:r>
        <w:rPr>
          <w:rFonts w:ascii="Times New Roman" w:hAnsi="Times New Roman"/>
          <w:sz w:val="28"/>
        </w:rPr>
        <w:t xml:space="preserve"> бюджете на очередной финансовый год и на плановый период</w:t>
      </w:r>
      <w:r>
        <w:rPr>
          <w:rFonts w:ascii="Times New Roman" w:hAnsi="Times New Roman"/>
          <w:sz w:val="28"/>
        </w:rPr>
        <w:t>.</w:t>
      </w:r>
    </w:p>
    <w:p w14:paraId="F1000000">
      <w:pPr>
        <w:pStyle w:val="Style_2"/>
        <w:widowControl w:val="1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Параметры финансового обеспечения в паспорте муниципальной программы (комплексной программы) приводятся в разрезе источников финансирования по годам реализации в целом по такой программе, а также с детализацией по ее структурным элементам. </w:t>
      </w:r>
    </w:p>
    <w:p w14:paraId="F2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Параметры финансового обеспечения в паспорте структурного элемента муниципальной программы (комплексной программы) приводятся в разрезе источников финансирования по годам реализации в целом по такому структурному элементу, а также с детализацией по его мероприятиям (результатам). </w:t>
      </w:r>
    </w:p>
    <w:p w14:paraId="F3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Параметры финансового обеспечения муниципальной программы (комплексной программы) и ее структурных элементов приводятся в тысячах рублей с точностью не менее одного знака после запятой. </w:t>
      </w:r>
    </w:p>
    <w:p w14:paraId="F4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Не допускается расхождение параметров финансового обеспечения </w:t>
      </w:r>
      <w:r>
        <w:rPr>
          <w:rFonts w:ascii="Times New Roman" w:hAnsi="Times New Roman"/>
          <w:sz w:val="28"/>
        </w:rPr>
        <w:t xml:space="preserve">структурных элементов муниципальной программы (комплексной программы), приведенных в паспорте такой программы и паспортах ее структурных элементов. </w:t>
      </w:r>
    </w:p>
    <w:p w14:paraId="F5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В целях обеспечения равномерности реализации муниципальных программ (комплексных программ) рекомендуется предусматривать ежемесячное планирование параметров финансового обеспечения за счет средств бюджета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в течение текущего финансового года.  </w:t>
      </w:r>
    </w:p>
    <w:p w14:paraId="F600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 xml:space="preserve">Планирование бюджетных ассигнований на реализацию муниципальных программ (комплексных программ) в очередном финансовом году и в плановом периоде осуществляется в соответствии с нормативными правовыми актами, регулирующими порядок составления проекта </w:t>
      </w:r>
      <w:r>
        <w:rPr>
          <w:rFonts w:ascii="Times New Roman" w:hAnsi="Times New Roman"/>
          <w:sz w:val="28"/>
        </w:rPr>
        <w:t>местного</w:t>
      </w:r>
      <w:r>
        <w:rPr>
          <w:rFonts w:ascii="Times New Roman" w:hAnsi="Times New Roman"/>
          <w:sz w:val="28"/>
        </w:rPr>
        <w:t xml:space="preserve"> бюджета на очередной финансовый год и на плановый период, а также с учетом результатов реализации муниципальных программ (комплексных программ) за предыдущий год. </w:t>
      </w:r>
    </w:p>
    <w:p w14:paraId="F700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 xml:space="preserve">Информация об объемах налоговых расходов </w:t>
      </w:r>
      <w:r>
        <w:rPr>
          <w:rFonts w:ascii="Times New Roman" w:hAnsi="Times New Roman"/>
          <w:sz w:val="28"/>
        </w:rPr>
        <w:t>Крапивинского муниципального</w:t>
      </w:r>
      <w:r>
        <w:rPr>
          <w:rFonts w:ascii="Times New Roman" w:hAnsi="Times New Roman"/>
          <w:sz w:val="28"/>
        </w:rPr>
        <w:t xml:space="preserve"> приводится </w:t>
      </w:r>
      <w:r>
        <w:rPr>
          <w:rFonts w:ascii="Times New Roman" w:hAnsi="Times New Roman"/>
          <w:sz w:val="28"/>
        </w:rPr>
        <w:t>справочно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согласно </w:t>
      </w:r>
      <w:r>
        <w:rPr>
          <w:rFonts w:ascii="Times New Roman" w:hAnsi="Times New Roman"/>
          <w:sz w:val="28"/>
        </w:rPr>
        <w:t>перечню налоговых расходов,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, сформированному </w:t>
      </w:r>
      <w:r>
        <w:rPr>
          <w:rFonts w:ascii="Times New Roman" w:hAnsi="Times New Roman"/>
          <w:sz w:val="28"/>
        </w:rPr>
        <w:t xml:space="preserve">в соответствии с Положением о формировании перечня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и оценке налоговых расходов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, утвержденным постановлением </w:t>
      </w:r>
      <w:r>
        <w:rPr>
          <w:rFonts w:ascii="Times New Roman" w:hAnsi="Times New Roman"/>
          <w:sz w:val="28"/>
        </w:rPr>
        <w:t>администрации Крапивинского муниципального 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17.04.2025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467</w:t>
      </w:r>
      <w:r>
        <w:rPr>
          <w:rFonts w:ascii="Times New Roman" w:hAnsi="Times New Roman"/>
          <w:sz w:val="28"/>
        </w:rPr>
        <w:t>.</w:t>
      </w:r>
    </w:p>
    <w:p w14:paraId="F8000000">
      <w:pPr>
        <w:pStyle w:val="Style_2"/>
        <w:widowControl w:val="1"/>
        <w:tabs>
          <w:tab w:leader="none" w:pos="0" w:val="left"/>
        </w:tabs>
        <w:ind w:firstLine="0" w:left="709"/>
        <w:jc w:val="both"/>
      </w:pPr>
    </w:p>
    <w:p w14:paraId="F9000000">
      <w:pPr>
        <w:pStyle w:val="Style_3"/>
        <w:widowControl w:val="1"/>
        <w:ind/>
        <w:jc w:val="center"/>
        <w:outlineLvl w:val="1"/>
      </w:pPr>
      <w:r>
        <w:rPr>
          <w:rFonts w:ascii="Times New Roman" w:hAnsi="Times New Roman"/>
          <w:b w:val="0"/>
          <w:sz w:val="28"/>
        </w:rPr>
        <w:t xml:space="preserve">V. Разработка муниципальных программ </w:t>
      </w:r>
    </w:p>
    <w:p w14:paraId="FA000000">
      <w:pPr>
        <w:pStyle w:val="Style_3"/>
        <w:widowControl w:val="1"/>
        <w:ind/>
        <w:jc w:val="center"/>
        <w:outlineLvl w:val="1"/>
      </w:pPr>
      <w:r>
        <w:rPr>
          <w:rFonts w:ascii="Times New Roman" w:hAnsi="Times New Roman"/>
          <w:b w:val="0"/>
          <w:sz w:val="28"/>
        </w:rPr>
        <w:t xml:space="preserve">(комплексных программ) и внесение в нее изменений </w:t>
      </w:r>
    </w:p>
    <w:p w14:paraId="FB000000">
      <w:pPr>
        <w:pStyle w:val="Style_2"/>
        <w:widowControl w:val="1"/>
        <w:ind/>
        <w:jc w:val="both"/>
        <w:rPr>
          <w:rFonts w:ascii="Times New Roman" w:hAnsi="Times New Roman"/>
          <w:b w:val="1"/>
          <w:sz w:val="28"/>
        </w:rPr>
      </w:pPr>
    </w:p>
    <w:p w14:paraId="FC00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 xml:space="preserve">Разработка муниципальных программ (комплексных программ) осуществляется на основании перечня муниципальных программ (комплексных программ), утверждаемого </w:t>
      </w:r>
      <w:r>
        <w:rPr>
          <w:rFonts w:ascii="Times New Roman" w:hAnsi="Times New Roman"/>
          <w:sz w:val="28"/>
        </w:rPr>
        <w:t>постановлением администрации Крапивинского муниципального округа</w:t>
      </w:r>
      <w:r>
        <w:rPr>
          <w:rFonts w:ascii="Times New Roman" w:hAnsi="Times New Roman"/>
          <w:sz w:val="28"/>
        </w:rPr>
        <w:t xml:space="preserve"> (далее – перечень муниципальных программ (комплексных программ).</w:t>
      </w:r>
    </w:p>
    <w:p w14:paraId="FD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Проект перечня муниципальных программ (комплексных программ) формируется </w:t>
      </w:r>
      <w:r>
        <w:rPr>
          <w:rFonts w:ascii="Times New Roman" w:hAnsi="Times New Roman"/>
          <w:sz w:val="28"/>
        </w:rPr>
        <w:t>отделом</w:t>
      </w:r>
      <w:r>
        <w:rPr>
          <w:rFonts w:ascii="Times New Roman" w:hAnsi="Times New Roman"/>
          <w:sz w:val="28"/>
        </w:rPr>
        <w:t xml:space="preserve"> экономического развития </w:t>
      </w:r>
      <w:r>
        <w:rPr>
          <w:rFonts w:ascii="Times New Roman" w:hAnsi="Times New Roman"/>
          <w:sz w:val="28"/>
        </w:rPr>
        <w:t xml:space="preserve">администрации Крапивинского округа </w:t>
      </w:r>
      <w:r>
        <w:rPr>
          <w:rFonts w:ascii="Times New Roman" w:hAnsi="Times New Roman"/>
          <w:sz w:val="28"/>
        </w:rPr>
        <w:t xml:space="preserve">совместно с </w:t>
      </w:r>
      <w:r>
        <w:rPr>
          <w:rFonts w:ascii="Times New Roman" w:hAnsi="Times New Roman"/>
          <w:sz w:val="28"/>
        </w:rPr>
        <w:t xml:space="preserve">финансовым управлением </w:t>
      </w:r>
      <w:r>
        <w:rPr>
          <w:rFonts w:ascii="Times New Roman" w:hAnsi="Times New Roman"/>
          <w:sz w:val="28"/>
        </w:rPr>
        <w:t xml:space="preserve">администрации Крапивинского округа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учетом предложений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труктурны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подразделени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администрации Крапивинского муниципального округа, подведомственны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ей учреждени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.</w:t>
      </w:r>
    </w:p>
    <w:p w14:paraId="FE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Перечень муниципальных программ (комплексных программ) содержит:</w:t>
      </w:r>
    </w:p>
    <w:p w14:paraId="FF00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наименование муниципальной программы (комплексной программы);</w:t>
      </w:r>
    </w:p>
    <w:p w14:paraId="0001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куратора муниципальной программы (комплексной программы);</w:t>
      </w:r>
    </w:p>
    <w:p w14:paraId="0101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период реализации муниципальной программы (комплексной программы);</w:t>
      </w:r>
    </w:p>
    <w:p w14:paraId="0201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ответственного исполнителя муниципальной программы (комплексной программы).</w:t>
      </w:r>
    </w:p>
    <w:p w14:paraId="03010000">
      <w:pPr>
        <w:pStyle w:val="Style_2"/>
        <w:widowControl w:val="1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 проекта муниципальной программы (комплексной программы) осуществляется ответственным исполнителем муниципальной программы (комплексной программы) совместно с соисполнителями и участниками муниципальной программы (комплексной программы) с учетом</w:t>
      </w:r>
      <w:r>
        <w:rPr>
          <w:rFonts w:ascii="Times New Roman" w:hAnsi="Times New Roman"/>
          <w:sz w:val="28"/>
        </w:rPr>
        <w:t xml:space="preserve"> стратегии социально – экономического развития Крапивинского муниципального округа, </w:t>
      </w:r>
      <w:r>
        <w:rPr>
          <w:rFonts w:ascii="Times New Roman" w:hAnsi="Times New Roman"/>
          <w:sz w:val="28"/>
        </w:rPr>
        <w:t xml:space="preserve">нормативно – правовых актов Крапивинского муниципального округа, </w:t>
      </w:r>
      <w:r>
        <w:rPr>
          <w:rFonts w:ascii="Times New Roman" w:hAnsi="Times New Roman"/>
          <w:sz w:val="28"/>
        </w:rPr>
        <w:t xml:space="preserve"> стратегии социально-экономического развития Кемеровской области – Кузбасса, законов Кемеровской области – Кузбасса, правовых актов Губернатора Кемеровской области – Кузбасса, высшего исполнительного органа Кемеровской области – Кузбасса.</w:t>
      </w:r>
      <w:r>
        <w:t xml:space="preserve"> </w:t>
      </w:r>
    </w:p>
    <w:p w14:paraId="04010000">
      <w:pPr>
        <w:pStyle w:val="Style_2"/>
        <w:widowControl w:val="1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28"/>
        </w:rPr>
        <w:t>Проект муниципальной программы (комплексной программы) подлежит согласованию ответственным исполнителем с соисполнителями, а также ответственными исполнителями комплексных программ (для муниципальных программ).</w:t>
      </w:r>
    </w:p>
    <w:p w14:paraId="0501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 xml:space="preserve">Согласованный соисполнителями муниципальной программы (комплексной программы) и ответственными исполнителями комплексной программы проект муниципальной программы (комплексной программы) направляется ответственным исполнителем одновременно на согласование в </w:t>
      </w:r>
      <w:r>
        <w:rPr>
          <w:rFonts w:ascii="Times New Roman" w:hAnsi="Times New Roman"/>
          <w:sz w:val="28"/>
        </w:rPr>
        <w:t>отдел</w:t>
      </w:r>
      <w:r>
        <w:rPr>
          <w:rFonts w:ascii="Times New Roman" w:hAnsi="Times New Roman"/>
          <w:sz w:val="28"/>
        </w:rPr>
        <w:t xml:space="preserve"> экономического развития </w:t>
      </w:r>
      <w:r>
        <w:rPr>
          <w:rFonts w:ascii="Times New Roman" w:hAnsi="Times New Roman"/>
          <w:sz w:val="28"/>
        </w:rPr>
        <w:t>администрации Крапивинского муниципального округа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sz w:val="28"/>
        </w:rPr>
        <w:t>финансовое управление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>.</w:t>
      </w:r>
    </w:p>
    <w:p w14:paraId="0601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 xml:space="preserve">Куратор муниципальной программы (комплексной программы) в срок до 1 августа года, предшествующего очередному финансовому году и плановому периоду, представляет в </w:t>
      </w:r>
      <w:r>
        <w:rPr>
          <w:rFonts w:ascii="Times New Roman" w:hAnsi="Times New Roman"/>
          <w:sz w:val="28"/>
        </w:rPr>
        <w:t xml:space="preserve">отдел экономического развития администрации Крапивинского муниципального округа и финансовое управление Крапивинского муниципального округа </w:t>
      </w:r>
      <w:r>
        <w:rPr>
          <w:rFonts w:ascii="Times New Roman" w:hAnsi="Times New Roman"/>
          <w:sz w:val="28"/>
        </w:rPr>
        <w:t>проект муниципальной программы (комплексной программы), предлагаемой к реализации начиная с очередного финансового года, в случае увеличения срока реализации ранее утвержденной муниципальной программы (комплексной программы) – проект изменений муниципальной программы (комплексной программы).</w:t>
      </w:r>
    </w:p>
    <w:p w14:paraId="07010000">
      <w:pPr>
        <w:pStyle w:val="Style_2"/>
        <w:widowControl w:val="1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Муниципальная программа (комплексная программа), предлагаемая к реализации начиная с очередного финансового года, а также изменения в ранее утвержденную </w:t>
      </w:r>
      <w:r>
        <w:rPr>
          <w:rFonts w:ascii="Times New Roman" w:hAnsi="Times New Roman"/>
          <w:sz w:val="28"/>
        </w:rPr>
        <w:t>муниципальную</w:t>
      </w:r>
      <w:r>
        <w:rPr>
          <w:rFonts w:ascii="Times New Roman" w:hAnsi="Times New Roman"/>
          <w:sz w:val="28"/>
        </w:rPr>
        <w:t xml:space="preserve"> программу (комплексную программу) в случае увеличения срока ее реализации </w:t>
      </w:r>
      <w:r>
        <w:rPr>
          <w:rFonts w:ascii="Times New Roman" w:hAnsi="Times New Roman"/>
          <w:sz w:val="28"/>
        </w:rPr>
        <w:t xml:space="preserve">в установленном порядке утверждаются постановлением администрации Крапивинского муниципального округа в срок до 31 декабря года, </w:t>
      </w:r>
      <w:r>
        <w:rPr>
          <w:rFonts w:ascii="Times New Roman" w:hAnsi="Times New Roman"/>
          <w:sz w:val="28"/>
        </w:rPr>
        <w:t>предшествующего очередному финансовому году и плановому периоду.</w:t>
      </w:r>
    </w:p>
    <w:p w14:paraId="0801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>Работу по внесению изменений в ранее утвержденные муниципальные программы (комплексные программы) организует куратор муниципальной программы (комплексной программы).</w:t>
      </w:r>
    </w:p>
    <w:p w14:paraId="0901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>Изменения в муниципальные программы (комплексные программы) вносятся в следующих случаях и в сроки:</w:t>
      </w:r>
    </w:p>
    <w:p w14:paraId="0A010000">
      <w:pPr>
        <w:pStyle w:val="Style_2"/>
        <w:widowControl w:val="1"/>
        <w:ind w:firstLine="709"/>
        <w:jc w:val="both"/>
        <w:rPr>
          <w:color w:val="FF0000"/>
        </w:rPr>
      </w:pPr>
      <w:r>
        <w:rPr>
          <w:rFonts w:ascii="Times New Roman" w:hAnsi="Times New Roman"/>
          <w:sz w:val="28"/>
        </w:rPr>
        <w:t xml:space="preserve">в связи с </w:t>
      </w:r>
      <w:r>
        <w:rPr>
          <w:rFonts w:ascii="Times New Roman" w:hAnsi="Times New Roman"/>
          <w:sz w:val="28"/>
        </w:rPr>
        <w:t>Решением Совета народных депутатов Крапивинского муниципального округа об утверждении</w:t>
      </w:r>
      <w:r>
        <w:rPr>
          <w:rFonts w:ascii="Times New Roman" w:hAnsi="Times New Roman"/>
          <w:sz w:val="28"/>
        </w:rPr>
        <w:t xml:space="preserve"> бюджет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на очередной финансовый год и на плановый период</w:t>
      </w:r>
      <w:r>
        <w:rPr>
          <w:rFonts w:ascii="Times New Roman" w:hAnsi="Times New Roman"/>
          <w:sz w:val="28"/>
        </w:rPr>
        <w:t>,</w:t>
      </w:r>
      <w:r>
        <w:t xml:space="preserve">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униципальные программы (комплексн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программы)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подлежат приведению в соответствие не позднее 1 апреля текущего финансового года</w:t>
      </w:r>
      <w:r>
        <w:rPr>
          <w:rFonts w:ascii="Times New Roman" w:hAnsi="Times New Roman"/>
          <w:sz w:val="28"/>
        </w:rPr>
        <w:t>;</w:t>
      </w:r>
    </w:p>
    <w:p w14:paraId="0B01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в целях исполнения требований, устанавливаемых поручениями Президента Российской Федерации, Правительством Российской Федерации, федеральными органами исполнительной власти, Губернатором Кемеровской области – Кузбасса, необходимых в том числе для привлечения федеральных средств в сроки, устанавливаемые поручениями Президента Российской Федерации, Правительством Российской Федерации, федеральными органами исполнительной власти, Губернатором Кемеровской области – Кузбасса, </w:t>
      </w:r>
      <w:r>
        <w:rPr>
          <w:rFonts w:ascii="Times New Roman" w:hAnsi="Times New Roman"/>
          <w:sz w:val="28"/>
        </w:rPr>
        <w:t xml:space="preserve">нормативно – правовыми актами администрации Крапивинского муниципального округа </w:t>
      </w:r>
      <w:r>
        <w:rPr>
          <w:rFonts w:ascii="Times New Roman" w:hAnsi="Times New Roman"/>
          <w:sz w:val="28"/>
        </w:rPr>
        <w:t>– в течение финансового года</w:t>
      </w:r>
      <w:r>
        <w:rPr>
          <w:rFonts w:ascii="Times New Roman" w:hAnsi="Times New Roman"/>
          <w:sz w:val="28"/>
        </w:rPr>
        <w:t>.</w:t>
      </w:r>
    </w:p>
    <w:p w14:paraId="0C010000">
      <w:pPr>
        <w:pStyle w:val="Style_3"/>
        <w:widowControl w:val="1"/>
        <w:tabs>
          <w:tab w:leader="none" w:pos="0" w:val="left"/>
        </w:tabs>
        <w:ind/>
        <w:jc w:val="center"/>
        <w:outlineLvl w:val="1"/>
        <w:rPr>
          <w:rFonts w:ascii="Times New Roman" w:hAnsi="Times New Roman"/>
          <w:b w:val="0"/>
          <w:sz w:val="28"/>
        </w:rPr>
      </w:pPr>
      <w:bookmarkStart w:id="5" w:name="P252"/>
      <w:bookmarkEnd w:id="5"/>
      <w:bookmarkStart w:id="6" w:name="P238"/>
      <w:bookmarkEnd w:id="6"/>
    </w:p>
    <w:p w14:paraId="0D010000">
      <w:pPr>
        <w:pStyle w:val="Style_3"/>
        <w:widowControl w:val="1"/>
        <w:tabs>
          <w:tab w:leader="none" w:pos="0" w:val="left"/>
        </w:tabs>
        <w:ind/>
        <w:jc w:val="center"/>
        <w:outlineLvl w:val="1"/>
      </w:pPr>
      <w:r>
        <w:rPr>
          <w:rFonts w:ascii="Times New Roman" w:hAnsi="Times New Roman"/>
          <w:b w:val="0"/>
          <w:sz w:val="28"/>
        </w:rPr>
        <w:t>VI. Система управления муниципальной программой (комплексной программой)</w:t>
      </w:r>
    </w:p>
    <w:p w14:paraId="0E010000">
      <w:pPr>
        <w:pStyle w:val="Style_2"/>
        <w:widowControl w:val="1"/>
        <w:ind/>
        <w:jc w:val="both"/>
        <w:rPr>
          <w:rFonts w:ascii="Times New Roman" w:hAnsi="Times New Roman"/>
          <w:b w:val="1"/>
          <w:sz w:val="28"/>
        </w:rPr>
      </w:pPr>
    </w:p>
    <w:p w14:paraId="0F01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>В целях обеспечения управления реализацией муниципальной программы (комплексной программы) администрация Крапивинского муниципального округа определяет куратора муниципальной программы.</w:t>
      </w:r>
    </w:p>
    <w:p w14:paraId="1001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>Куратор муниципальной программы:</w:t>
      </w:r>
    </w:p>
    <w:p w14:paraId="1101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а) координирует разработку и реализацию муниципальной программы (комплексной программы);</w:t>
      </w:r>
    </w:p>
    <w:p w14:paraId="1201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б) одобряет стратегические приоритеты, цели, показатели и структуру муниципальной программы (комплексной программы);</w:t>
      </w:r>
    </w:p>
    <w:p w14:paraId="1301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в) осуществляет на постоянной основе контроль реализации муниципальной программы (комплексной программы), в том числе рассматривает результаты мониторинга и оценки эффективности реализации муниципальной программы (комплексной программы), представляемые </w:t>
      </w:r>
      <w:r>
        <w:rPr>
          <w:rFonts w:ascii="Times New Roman" w:hAnsi="Times New Roman"/>
          <w:sz w:val="28"/>
        </w:rPr>
        <w:t xml:space="preserve">ответственным исполнителем </w:t>
      </w:r>
      <w:r>
        <w:rPr>
          <w:rFonts w:ascii="Times New Roman" w:hAnsi="Times New Roman"/>
          <w:sz w:val="28"/>
        </w:rPr>
        <w:t>муниципальной программы (комплексной программы)</w:t>
      </w:r>
      <w:r>
        <w:rPr>
          <w:rFonts w:ascii="Times New Roman" w:hAnsi="Times New Roman"/>
          <w:sz w:val="28"/>
        </w:rPr>
        <w:t>;</w:t>
      </w:r>
    </w:p>
    <w:p w14:paraId="1401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принимает решение о внесении изменений в муниципальную программу (комплексную программу) в соответствии с настоящим Положением;</w:t>
      </w:r>
    </w:p>
    <w:p w14:paraId="1501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выполняет иные полномочия в соответствии с настоящим Положением.</w:t>
      </w:r>
    </w:p>
    <w:p w14:paraId="1601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>Ответственный исполнитель муниципальной программы (комплексной программы):</w:t>
      </w:r>
    </w:p>
    <w:p w14:paraId="1701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организует разработку и обеспечивает реализацию муниципальной программы (комплексной программы), ее согласование с соисполнителями и внесение изменений в установленном порядке в постановление администрации Крапивинского муниципального округа;</w:t>
      </w:r>
    </w:p>
    <w:p w14:paraId="1801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координирует деятельность соисполнителей в рамках подготовки проекта муниципальной программы (комплексной программы);</w:t>
      </w:r>
    </w:p>
    <w:p w14:paraId="1901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представляет по запросу отдела экономического развития администрации Крапивинского муниципального округа и финансового управления администрации Крапивинского муниципального округа, необходимые для осуществления мониторинга реализации муниципальной программы (комплексной программы);</w:t>
      </w:r>
    </w:p>
    <w:p w14:paraId="1A01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координирует деятельность соисполнителей и участников, в том числе деятельность по заполнению форм и представлению данных для проведения мониторинга реализации муниципальной программы (комплексной программы);</w:t>
      </w:r>
    </w:p>
    <w:p w14:paraId="1B01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запрашивает у соисполнителей и участников муниципальной программы (комплексной программы) информацию, необходимую для проведения мониторинга реализации и оценки эффективности муниципальной программы (комплексной программы) и подготовки годового отчета;</w:t>
      </w:r>
    </w:p>
    <w:p w14:paraId="1C01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подготавливает годовой отчет о реализации муниципальной программы (комплексной программы) и представляет его в отдел экономического развития администрации Крапивинского муниципального округа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финансовое управление администрации Крапивинского муниципального округа;</w:t>
      </w:r>
    </w:p>
    <w:p w14:paraId="1D01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выполняет иные функции, предусмотренные настоящим Положением.</w:t>
      </w:r>
    </w:p>
    <w:p w14:paraId="1E01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>Соисполнители муниципальной программы (комплексной программы):</w:t>
      </w:r>
    </w:p>
    <w:p w14:paraId="1F01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а) обеспечивают согласование проекта муниципальной программы (комплексной программы) с участниками муниципальной программы (комплексной программы) в части структурных элементов, в реализации которых предполагается их участие;</w:t>
      </w:r>
    </w:p>
    <w:p w14:paraId="2001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б) обеспечивают совместно с участниками муниципальной программы (комплексной программы) реализацию включенных в муниципальную программу (комплексную программу) региональных проектов, направленных на достижение национальных проектов, иных региональных проектов, ведомственных региональных проектов, комплексов процессных мероприятий;</w:t>
      </w:r>
    </w:p>
    <w:p w14:paraId="2101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в) запрашивают у участников муниципальной программы (комплексной программы) информацию, необходимую для подготовки ответов на запросы ответственного исполнителя, а также информацию, необходимую для проведения мониторинга реализации и оценки эффективности муниципальной программы (комплексной программы) и подготовки годового отчета о реализации муниципальной программы (комплексной программы);</w:t>
      </w:r>
    </w:p>
    <w:p w14:paraId="2201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представляют ответственному исполнителю необходимую информацию для подготовки ответов на запросы отдела экономического развития администрации Крапивинского муниципального округа и финансового управления администрации Крапивинского муниципального округа;</w:t>
      </w:r>
    </w:p>
    <w:p w14:paraId="2301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д) представляют ответственному исполнителю информацию, необходимую для проведения оценки эффективности муниципальной программы (комплексной программы) и подготовки годового отчета о реализации муниципальной программы (комплексной программы);</w:t>
      </w:r>
    </w:p>
    <w:p w14:paraId="2401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выполняют иные функции, предусмотренные настоящим Положением.</w:t>
      </w:r>
    </w:p>
    <w:p w14:paraId="2501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>Участники муниципальной программы (комплексной программы):</w:t>
      </w:r>
    </w:p>
    <w:p w14:paraId="2601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обеспечивают реализацию отдельных мероприятий региональных проектов, направленных на достижение национальных проектов, иных региональных проектов, ведомственных региональных проектов, комплексов процессных мероприятий, в реализации которых предполагается их участие;</w:t>
      </w:r>
    </w:p>
    <w:p w14:paraId="2701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б) представляют ответственному исполнителю и соисполнителю информацию, необходимую для осуществления мониторинга реализации муниципальной программы (комплексной программы), оценки ее эффективности;</w:t>
      </w:r>
    </w:p>
    <w:p w14:paraId="2801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выполняют иные функции, предусмотренные настоящим Положением.</w:t>
      </w:r>
    </w:p>
    <w:p w14:paraId="2901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>Ответственный исполнитель, соисполнители и участники муниципальной программы представляют ответственным исполнителям комплексных программ сведения для формирования аналитической информации в соответствующих комплексных программах, а также иную информацию по запросам ответственных исполнителей комплексных программ.</w:t>
      </w:r>
    </w:p>
    <w:p w14:paraId="2A01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>Куратор муниципальной программы несет ответственность за реализацию муниципальной программы (комплексной программы).</w:t>
      </w:r>
    </w:p>
    <w:p w14:paraId="2B01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Ответственный исполнитель, соисполнители и участники муниципальной программы (комплексной программы) несут ответственность за реализацию соответствующих структурных элементов муниципальной программы (комплексной программы), выполнение </w:t>
      </w:r>
      <w:r>
        <w:rPr>
          <w:rFonts w:ascii="Times New Roman" w:hAnsi="Times New Roman"/>
          <w:sz w:val="28"/>
        </w:rPr>
        <w:t>их мероприятий (результатов), достижение соответствующих показателей муниципальной программы (комплексной программы) и ее структурных элементов, а также полноту и достоверность сведений.</w:t>
      </w:r>
    </w:p>
    <w:p w14:paraId="2C010000">
      <w:pPr>
        <w:pStyle w:val="Style_2"/>
        <w:widowControl w:val="1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Куратор муниципальной программы урегулирует разногласия между ответственным исполнителем, соисполнителями, участниками муниципальной программы (комплексной программы) по параметрам муниципальной программы (комплексной программы), а также отделом экономического развития администрации Крапивинского муниципального округа и финансовым управлением администрации Крапивинского муниципального округа.</w:t>
      </w:r>
    </w:p>
    <w:p w14:paraId="2D010000">
      <w:pPr>
        <w:pStyle w:val="Style_2"/>
        <w:widowControl w:val="1"/>
        <w:ind w:firstLine="0" w:left="709"/>
        <w:jc w:val="both"/>
        <w:rPr>
          <w:rFonts w:ascii="Times New Roman" w:hAnsi="Times New Roman"/>
          <w:sz w:val="28"/>
        </w:rPr>
      </w:pPr>
    </w:p>
    <w:p w14:paraId="2E010000">
      <w:pPr>
        <w:pStyle w:val="Style_3"/>
        <w:widowControl w:val="1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VII. Мониторинг реализации муниципальной программы</w:t>
      </w:r>
    </w:p>
    <w:p w14:paraId="2F010000">
      <w:pPr>
        <w:pStyle w:val="Style_3"/>
        <w:widowControl w:val="1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(комплексной программы)</w:t>
      </w:r>
    </w:p>
    <w:p w14:paraId="30010000">
      <w:pPr>
        <w:pStyle w:val="Style_2"/>
        <w:widowControl w:val="1"/>
        <w:ind/>
        <w:jc w:val="both"/>
        <w:rPr>
          <w:rFonts w:ascii="Times New Roman" w:hAnsi="Times New Roman"/>
          <w:b w:val="1"/>
          <w:sz w:val="28"/>
        </w:rPr>
      </w:pPr>
    </w:p>
    <w:p w14:paraId="3101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>Мониторинг реализации муниципальной программы (комплексной программы) представляет собой систему мероприятий по измерению фактических параметров исполнения муниципальной программы (комплексной программы) и ее структурных элементов, определению отклонений фактических параметров от плановых, анализу их причин, определению рисков, а также по прогнозированию хода реализации муниципальной программы (комплексной программы) и ее структурных элементов.</w:t>
      </w:r>
    </w:p>
    <w:p w14:paraId="3201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Целью мониторинга является получение на постоянной основе информации о ходе реализации муниципальной программы (комплексной программы) для принятия управленческих решений по определению, согласованию и реализации возможных корректирующих воздействий.</w:t>
      </w:r>
    </w:p>
    <w:p w14:paraId="3301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Мониторинг реализации муниципальной программы (комплексной программы) ориентирован на раннее предупреждение возникновения проблем и отклонений хода реализации муниципальной программы (комплексной программы) от запланированного уровня и осуществляется не реже одного раза в квартал. </w:t>
      </w:r>
    </w:p>
    <w:p w14:paraId="3401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Мониторинг реализации муниципальной программы (комплексной программы) осуществляется на основе отчетов о ходе реализации муниципальной программы (комплексной программы).</w:t>
      </w:r>
    </w:p>
    <w:p w14:paraId="3501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>В ходе мониторинга формируются ежеквартальные и годовые отчеты в соответствии с методическими рекомендациями по мониторингу муниципальных программ (комплексных программ), разрабатываемыми и утверждаемыми отделом экономического развития администрации Крапивинского муниципального округа по согласованию с финансовым управлением администрации Крапивинского муниципального округа.</w:t>
      </w:r>
    </w:p>
    <w:p w14:paraId="3601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Подготовка отчета о ходе реализации муниципальной программы (комплексной программы) осуществляется ее ответственным исполнителем с учетом отчетов о ходе реализации региональных </w:t>
      </w:r>
      <w:r>
        <w:rPr>
          <w:rFonts w:ascii="Times New Roman" w:hAnsi="Times New Roman"/>
          <w:sz w:val="28"/>
        </w:rPr>
        <w:t>проектов, направленных на достижение национальных проектов, иных региональных проектов, ведомственных региональных проектов, входящих в состав муниципальной программы (комплексной программы), а также информации о ходе реализации комплексов процессных мероприятий.</w:t>
      </w:r>
    </w:p>
    <w:p w14:paraId="3701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 xml:space="preserve">Финансовое управление администрации Крапивинского муниципального округа в срок до </w:t>
      </w: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-го числа месяца, следующего за отчетным кварталом, представляет в отдел экономического развития администрации Крапивинского муниципального округа отчет об использовании </w:t>
      </w:r>
      <w:r>
        <w:rPr>
          <w:rFonts w:ascii="Times New Roman" w:hAnsi="Times New Roman"/>
          <w:sz w:val="28"/>
        </w:rPr>
        <w:t>бюджетных ассигнований бюджета</w:t>
      </w:r>
      <w:r>
        <w:rPr>
          <w:rFonts w:ascii="Times New Roman" w:hAnsi="Times New Roman"/>
          <w:sz w:val="28"/>
        </w:rPr>
        <w:t xml:space="preserve"> округа</w:t>
      </w:r>
      <w:r>
        <w:rPr>
          <w:rFonts w:ascii="Times New Roman" w:hAnsi="Times New Roman"/>
          <w:sz w:val="28"/>
        </w:rPr>
        <w:t xml:space="preserve"> на реализацию муниципальных программ (комплексных программ).</w:t>
      </w:r>
    </w:p>
    <w:p w14:paraId="38010000">
      <w:pPr>
        <w:pStyle w:val="Style_2"/>
        <w:widowControl w:val="1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ежеквартального отчета о реализации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 осуществляется не позднее 15-го числа месяца, следующего за отчетным периодом.</w:t>
      </w:r>
    </w:p>
    <w:p w14:paraId="3901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Ежеквартальный отчет о реализации структурного элемента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 формируется не позднее 5-го рабочего дня месяца, следующего за отчетным периодом.</w:t>
      </w:r>
    </w:p>
    <w:p w14:paraId="3A010000">
      <w:pPr>
        <w:pStyle w:val="Style_2"/>
        <w:widowControl w:val="1"/>
        <w:tabs>
          <w:tab w:leader="none" w:pos="0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годового отчета о реализации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>программы (комплексной программы) осуществляется не позднее 14 февраля года, следующего за отчетным (уточненного итогового годового отчета - до 12 апреля года, следующего за отчетным).</w:t>
      </w:r>
    </w:p>
    <w:p w14:paraId="3B010000">
      <w:pPr>
        <w:pStyle w:val="Style_2"/>
        <w:widowControl w:val="1"/>
        <w:tabs>
          <w:tab w:leader="none" w:pos="0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Формирование годового отчета о реализации структурного элемента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 осуществляется не позднее 10 февраля года, следующего за отчетным (уточненного итогового годового отчета - до 8 апреля года, следующего за отчетным).</w:t>
      </w:r>
    </w:p>
    <w:p w14:paraId="3C010000">
      <w:pPr>
        <w:pStyle w:val="Style_2"/>
        <w:widowControl w:val="1"/>
        <w:tabs>
          <w:tab w:leader="none" w:pos="0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отчетов о реализации структурных элементов - региональных проектов, направленных на достижение национальных проектов, осуществляется в соответствии с Положением об организации проектной деятельности и Едиными методическими рекомендациями.</w:t>
      </w:r>
    </w:p>
    <w:p w14:paraId="3D01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 xml:space="preserve">В отчете о реализации муниципальной программы (комплексной программы), отчетах о реализации структурных элементов такой программы подлежат отражению фактические сведения о параметрах: </w:t>
      </w:r>
    </w:p>
    <w:p w14:paraId="3E01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показатели; </w:t>
      </w:r>
    </w:p>
    <w:p w14:paraId="3F01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мероприятия (результаты); </w:t>
      </w:r>
    </w:p>
    <w:p w14:paraId="4001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в) показатели финансового обеспечения за счет всех источников финансирования; </w:t>
      </w:r>
    </w:p>
    <w:p w14:paraId="4101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контрольные точки. </w:t>
      </w:r>
    </w:p>
    <w:p w14:paraId="4201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отчеты, указанные в настоящем пункте, включаются иные сведения, в том числе информация о возможных рисках. </w:t>
      </w:r>
    </w:p>
    <w:p w14:paraId="4301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Формирование отчетности осуществляется с учетом сопоставимости с данными, содержащимися в паспорте муниципальной </w:t>
      </w:r>
      <w:r>
        <w:rPr>
          <w:rFonts w:ascii="Times New Roman" w:hAnsi="Times New Roman"/>
          <w:sz w:val="28"/>
        </w:rPr>
        <w:t xml:space="preserve">программы (комплексной программы), паспорте ее структурного элемента. </w:t>
      </w:r>
    </w:p>
    <w:p w14:paraId="4401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 xml:space="preserve">При формировании отчетов о реализации муниципальных программ (комплексных программ) и их структурных элементов обязательно представление документов, подтверждающих достижение показателей, результатов, выполнение мероприятий, объектов и контрольных точек муниципальной программы (комплексной программы) и ее структурных элементов. </w:t>
      </w:r>
    </w:p>
    <w:p w14:paraId="4501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bookmarkStart w:id="7" w:name="P376"/>
      <w:bookmarkEnd w:id="7"/>
      <w:r>
        <w:rPr>
          <w:rFonts w:ascii="Times New Roman" w:hAnsi="Times New Roman"/>
          <w:sz w:val="28"/>
        </w:rPr>
        <w:t>В годовом отчете о реализации муниципальной программы (комплексной программы) содержатся:</w:t>
      </w:r>
    </w:p>
    <w:p w14:paraId="4601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а) информация о достижении целей муниципальной программы (комплексной программы) за отчетный период, а также прогноз достижения целей муниципальной программы (комплексной программы) на предстоящий год;</w:t>
      </w:r>
    </w:p>
    <w:p w14:paraId="4701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б) перечень контрольных точек, пройденных и не пройденных (с указанием причин) в установленные сроки;</w:t>
      </w:r>
    </w:p>
    <w:p w14:paraId="4801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в) информация о достижении фактических значений показателей муниципальной программы (комплексной программы) и фактических значений показателей и результатов структурных элементов за отчетный период;</w:t>
      </w:r>
    </w:p>
    <w:p w14:paraId="4901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информация о структурных элементах, реализация которых осуществляется с нарушением установленных параметров и сроков;</w:t>
      </w:r>
    </w:p>
    <w:p w14:paraId="4A01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д) анализ факторов, повлиявших на ход реализации муниципальной программы (комплексной программы);</w:t>
      </w:r>
    </w:p>
    <w:p w14:paraId="4B01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е) данные об использовании бюджетных и иных средств на реализацию муниципальной программы (комплексной программы);</w:t>
      </w:r>
    </w:p>
    <w:p w14:paraId="4C01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>ж) предложения о корректировке, досрочном прекращении структурных элементов или муниципальной программы (комплексной программы) в целом;</w:t>
      </w:r>
    </w:p>
    <w:p w14:paraId="4D010000">
      <w:pPr>
        <w:pStyle w:val="Style_2"/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сведения об изменениях, внесенных в отчетном периоде в </w:t>
      </w:r>
      <w:r>
        <w:rPr>
          <w:rFonts w:ascii="Times New Roman" w:hAnsi="Times New Roman"/>
          <w:sz w:val="28"/>
        </w:rPr>
        <w:t>муниципальную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ограмму (комплексную программу);</w:t>
      </w:r>
    </w:p>
    <w:p w14:paraId="4E010000">
      <w:pPr>
        <w:pStyle w:val="Style_2"/>
        <w:widowControl w:val="1"/>
        <w:ind w:firstLine="709"/>
        <w:jc w:val="both"/>
      </w:pPr>
      <w:r>
        <w:rPr>
          <w:rFonts w:ascii="Times New Roman" w:hAnsi="Times New Roman"/>
          <w:sz w:val="28"/>
        </w:rPr>
        <w:t xml:space="preserve">и) </w:t>
      </w:r>
      <w:r>
        <w:rPr>
          <w:rFonts w:ascii="Times New Roman" w:hAnsi="Times New Roman"/>
          <w:sz w:val="28"/>
        </w:rPr>
        <w:t xml:space="preserve">оценка эффективности реализации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программы).</w:t>
      </w:r>
    </w:p>
    <w:p w14:paraId="4F01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 xml:space="preserve">Годовой отчет о реализации муниципальной программы (комплексной программы) подлежит размещению на официальном сайте </w:t>
      </w:r>
      <w:r>
        <w:rPr>
          <w:rFonts w:ascii="Times New Roman" w:hAnsi="Times New Roman"/>
          <w:sz w:val="28"/>
        </w:rPr>
        <w:t>администрации Крапивинского муниципального округа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«Интернет».</w:t>
      </w:r>
    </w:p>
    <w:p w14:paraId="50010000">
      <w:pPr>
        <w:pStyle w:val="Style_2"/>
        <w:widowControl w:val="1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Ответственный исполнитель, соисполнители и участники муниципальных программ (комплексных программ) обеспечивают достоверность данных, представляемых в рамках мониторинга реализации муниципальной программы (комплексной программы). </w:t>
      </w:r>
    </w:p>
    <w:p w14:paraId="51010000">
      <w:pPr>
        <w:pStyle w:val="Style_2"/>
        <w:widowControl w:val="1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Отчет о реализации муниципальной программы (комплексной программы), годовой отчет о реализации муниципальной </w:t>
      </w:r>
      <w:r>
        <w:rPr>
          <w:rFonts w:ascii="Times New Roman" w:hAnsi="Times New Roman"/>
          <w:sz w:val="28"/>
        </w:rPr>
        <w:t>программы (комплексной программы) представляется в отдел экономического развития администрации Крапивинского муниципального округа за подписью куратора муниципальной программы (комплексной программы).</w:t>
      </w:r>
    </w:p>
    <w:p w14:paraId="5201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>Отдел экономического развития администрации Крапивинского муниципального округа на основании представленных годовых отчетов о реализации муниципальных программ (комплексных программ) готовит сводный годовой доклад о ходе реализации и об оценке эффективности реализации муниципальных программ (комплексных программ) и направляет заместителю главы Крапивинского муниципального округа</w:t>
      </w:r>
      <w:r>
        <w:rPr>
          <w:rFonts w:ascii="Times New Roman" w:hAnsi="Times New Roman"/>
          <w:sz w:val="28"/>
        </w:rPr>
        <w:t xml:space="preserve"> (по экономике)</w:t>
      </w:r>
      <w:r>
        <w:rPr>
          <w:rFonts w:ascii="Times New Roman" w:hAnsi="Times New Roman"/>
          <w:sz w:val="28"/>
        </w:rPr>
        <w:t xml:space="preserve"> не позднее 1 июня года, следующего за отчетным годом.</w:t>
      </w:r>
    </w:p>
    <w:p w14:paraId="5301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>Сводный годовой доклад о ходе реализации и об оценке эффективности реализации муниципальных программ (комплексных программ) подлежит размещению на официальном сайте администрации Крапивинского муниципального www.krapivino.ru в информационно-телекоммуникационной сети «Интернет» не позднее 15 июня года, следующего за отчетным годом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организационным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отделом администрации Крапивинского муниципального округа</w:t>
      </w:r>
    </w:p>
    <w:p w14:paraId="54010000">
      <w:pPr>
        <w:pStyle w:val="Style_2"/>
        <w:widowControl w:val="1"/>
        <w:numPr>
          <w:ilvl w:val="0"/>
          <w:numId w:val="1"/>
        </w:numPr>
        <w:ind w:firstLine="709" w:left="0"/>
        <w:jc w:val="both"/>
      </w:pPr>
      <w:r>
        <w:rPr>
          <w:rFonts w:ascii="Times New Roman" w:hAnsi="Times New Roman"/>
          <w:sz w:val="28"/>
        </w:rPr>
        <w:t xml:space="preserve">По результатам оценки эффективности муниципальной программы (комплексной программы) администрация Крапивинского муниципального округа может принять решение о сокращении на очередной финансовый год и плановый период бюджетных </w:t>
      </w:r>
      <w:r>
        <w:rPr>
          <w:rFonts w:ascii="Times New Roman" w:hAnsi="Times New Roman"/>
          <w:sz w:val="28"/>
        </w:rPr>
        <w:t>средств</w:t>
      </w:r>
      <w:r>
        <w:rPr>
          <w:rFonts w:ascii="Times New Roman" w:hAnsi="Times New Roman"/>
          <w:sz w:val="28"/>
        </w:rPr>
        <w:t xml:space="preserve"> на реализацию муниципальной программы (комплексной программы) или о досрочном прекращении реализации муниципальной программы (комплексной программы) в целом или ее структурных элементов начиная с очередного финансового года.</w:t>
      </w:r>
    </w:p>
    <w:p w14:paraId="55010000">
      <w:pPr>
        <w:pStyle w:val="Style_2"/>
        <w:widowControl w:val="1"/>
        <w:numPr>
          <w:ilvl w:val="0"/>
          <w:numId w:val="1"/>
        </w:numPr>
        <w:ind w:firstLine="709" w:left="0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28"/>
        </w:rPr>
        <w:t>В случае досрочного прекращения реализации муниципальной программы (комплексной программы) ответственный исполнитель представляет в отдел экономического развития администрации Крапивинского муниципального округа и финансовое управление администрации Крапивинского муниципального округа о реализации муниципальной программы (комплексной программы) в 2-месячный срок с даты досрочного прекращения реализации муниципальной программы (комплексной программы).</w:t>
      </w:r>
    </w:p>
    <w:p w14:paraId="56010000">
      <w:pPr>
        <w:pStyle w:val="Style_2"/>
        <w:widowControl w:val="1"/>
        <w:tabs>
          <w:tab w:leader="none" w:pos="0" w:val="left"/>
        </w:tabs>
        <w:ind w:firstLine="0" w:left="709"/>
        <w:jc w:val="both"/>
        <w:rPr>
          <w:rFonts w:ascii="Times New Roman" w:hAnsi="Times New Roman"/>
          <w:sz w:val="36"/>
        </w:rPr>
      </w:pPr>
    </w:p>
    <w:p w14:paraId="57010000">
      <w:pPr>
        <w:pStyle w:val="Style_2"/>
        <w:widowControl w:val="1"/>
        <w:tabs>
          <w:tab w:leader="none" w:pos="0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VIII. Оценка эффективности реализации </w:t>
      </w:r>
      <w:r>
        <w:rPr>
          <w:rFonts w:ascii="Times New Roman" w:hAnsi="Times New Roman"/>
          <w:sz w:val="28"/>
        </w:rPr>
        <w:t>муниципальной</w:t>
      </w:r>
    </w:p>
    <w:p w14:paraId="58010000">
      <w:pPr>
        <w:pStyle w:val="Style_2"/>
        <w:widowControl w:val="1"/>
        <w:tabs>
          <w:tab w:leader="none" w:pos="0" w:val="left"/>
        </w:tabs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программы (комплексной программы)</w:t>
      </w:r>
    </w:p>
    <w:p w14:paraId="59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5A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69. Оценка эффективности реализации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 осуществляется на основании информации и данных о ходе реализации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 xml:space="preserve">ных программ (комплексных </w:t>
      </w:r>
      <w:r>
        <w:rPr>
          <w:rFonts w:ascii="Times New Roman" w:hAnsi="Times New Roman"/>
          <w:sz w:val="28"/>
        </w:rPr>
        <w:t>программ) (их структурных элементов), содержащихся в государственной интегрированной информационной системе управления общественными финансами "Электронный бюджет".</w:t>
      </w:r>
    </w:p>
    <w:p w14:paraId="5B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70. Оценка эффективности реализации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 xml:space="preserve">программы (комплексной программы) проводится ответственным исполнителем (координатором) по единой методике оценки и представляется в </w:t>
      </w:r>
      <w:r>
        <w:rPr>
          <w:rFonts w:ascii="Times New Roman" w:hAnsi="Times New Roman"/>
          <w:sz w:val="28"/>
        </w:rPr>
        <w:t xml:space="preserve">отдел </w:t>
      </w:r>
      <w:r>
        <w:rPr>
          <w:rFonts w:ascii="Times New Roman" w:hAnsi="Times New Roman"/>
          <w:sz w:val="28"/>
        </w:rPr>
        <w:t xml:space="preserve">экономического развития </w:t>
      </w:r>
      <w:r>
        <w:rPr>
          <w:rFonts w:ascii="Times New Roman" w:hAnsi="Times New Roman"/>
          <w:sz w:val="28"/>
        </w:rPr>
        <w:t>администрации Крапивинского муниципального округа</w:t>
      </w:r>
      <w:r>
        <w:rPr>
          <w:rFonts w:ascii="Times New Roman" w:hAnsi="Times New Roman"/>
          <w:sz w:val="28"/>
        </w:rPr>
        <w:t xml:space="preserve"> за подписью куратора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>программы (комплексной программы).</w:t>
      </w:r>
    </w:p>
    <w:p w14:paraId="5C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Единая методика оценки представляет собой алгоритм оценки фактической эффективности в процессе и по итогам реализации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 и основана на оценке уровня достижения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 и оценке качества финансового управления.</w:t>
      </w:r>
    </w:p>
    <w:p w14:paraId="5D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71. Оценка эффективности реализации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 (</w:t>
      </w:r>
      <w:r>
        <w:rPr>
          <w:rFonts w:ascii="Times New Roman" w:hAnsi="Times New Roman"/>
          <w:sz w:val="28"/>
        </w:rPr>
        <w:t>Rгп</w:t>
      </w:r>
      <w:r>
        <w:rPr>
          <w:rFonts w:ascii="Times New Roman" w:hAnsi="Times New Roman"/>
          <w:sz w:val="28"/>
        </w:rPr>
        <w:t xml:space="preserve">) рассчитывается как средневзвешенная оценка уровня достижения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 (</w:t>
      </w:r>
      <w:r>
        <w:rPr>
          <w:rFonts w:ascii="Times New Roman" w:hAnsi="Times New Roman"/>
          <w:sz w:val="28"/>
        </w:rPr>
        <w:t>УДгп</w:t>
      </w:r>
      <w:r>
        <w:rPr>
          <w:rFonts w:ascii="Times New Roman" w:hAnsi="Times New Roman"/>
          <w:sz w:val="28"/>
        </w:rPr>
        <w:t>) в отчетном году (80 процентов интегральной оценки) и оценка качества финансового управления (</w:t>
      </w:r>
      <w:r>
        <w:rPr>
          <w:rFonts w:ascii="Times New Roman" w:hAnsi="Times New Roman"/>
          <w:sz w:val="28"/>
        </w:rPr>
        <w:t>ФУгп</w:t>
      </w:r>
      <w:r>
        <w:rPr>
          <w:rFonts w:ascii="Times New Roman" w:hAnsi="Times New Roman"/>
          <w:sz w:val="28"/>
        </w:rPr>
        <w:t xml:space="preserve">) реализации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 в отчетном году (20 процентов интегральной оценки) по формуле:</w:t>
      </w:r>
    </w:p>
    <w:p w14:paraId="5E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5F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Rгп</w:t>
      </w:r>
      <w:r>
        <w:rPr>
          <w:rFonts w:ascii="Times New Roman" w:hAnsi="Times New Roman"/>
          <w:sz w:val="28"/>
        </w:rPr>
        <w:t xml:space="preserve"> = 0,8 * </w:t>
      </w:r>
      <w:r>
        <w:rPr>
          <w:rFonts w:ascii="Times New Roman" w:hAnsi="Times New Roman"/>
          <w:sz w:val="28"/>
        </w:rPr>
        <w:t>УДгп</w:t>
      </w:r>
      <w:r>
        <w:rPr>
          <w:rFonts w:ascii="Times New Roman" w:hAnsi="Times New Roman"/>
          <w:sz w:val="28"/>
        </w:rPr>
        <w:t xml:space="preserve"> + 0,2 * </w:t>
      </w:r>
      <w:r>
        <w:rPr>
          <w:rFonts w:ascii="Times New Roman" w:hAnsi="Times New Roman"/>
          <w:sz w:val="28"/>
        </w:rPr>
        <w:t>ФУгп</w:t>
      </w:r>
      <w:r>
        <w:rPr>
          <w:rFonts w:ascii="Times New Roman" w:hAnsi="Times New Roman"/>
          <w:sz w:val="28"/>
        </w:rPr>
        <w:t>, где:</w:t>
      </w:r>
    </w:p>
    <w:p w14:paraId="60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61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Rгп</w:t>
      </w:r>
      <w:r>
        <w:rPr>
          <w:rFonts w:ascii="Times New Roman" w:hAnsi="Times New Roman"/>
          <w:sz w:val="28"/>
        </w:rPr>
        <w:t xml:space="preserve"> - оценка эффективности реализации i-й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программы);</w:t>
      </w:r>
    </w:p>
    <w:p w14:paraId="62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УДгп</w:t>
      </w:r>
      <w:r>
        <w:rPr>
          <w:rFonts w:ascii="Times New Roman" w:hAnsi="Times New Roman"/>
          <w:sz w:val="28"/>
        </w:rPr>
        <w:t xml:space="preserve"> - уровень достижения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программы);</w:t>
      </w:r>
    </w:p>
    <w:p w14:paraId="63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ФУгп</w:t>
      </w:r>
      <w:r>
        <w:rPr>
          <w:rFonts w:ascii="Times New Roman" w:hAnsi="Times New Roman"/>
          <w:sz w:val="28"/>
        </w:rPr>
        <w:t xml:space="preserve"> - оценка качества финансового управления реализацией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программы).</w:t>
      </w:r>
    </w:p>
    <w:p w14:paraId="64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72. Уровень достижения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 (</w:t>
      </w:r>
      <w:r>
        <w:rPr>
          <w:rFonts w:ascii="Times New Roman" w:hAnsi="Times New Roman"/>
          <w:sz w:val="28"/>
        </w:rPr>
        <w:t>УДгп</w:t>
      </w:r>
      <w:r>
        <w:rPr>
          <w:rFonts w:ascii="Times New Roman" w:hAnsi="Times New Roman"/>
          <w:sz w:val="28"/>
        </w:rPr>
        <w:t>) за отчетный период рассчитывается по формуле:</w:t>
      </w:r>
    </w:p>
    <w:p w14:paraId="65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66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УДгп</w:t>
      </w:r>
      <w:r>
        <w:rPr>
          <w:rFonts w:ascii="Times New Roman" w:hAnsi="Times New Roman"/>
          <w:sz w:val="28"/>
        </w:rPr>
        <w:t xml:space="preserve"> = 0,5 * </w:t>
      </w:r>
      <w:r>
        <w:rPr>
          <w:rFonts w:ascii="Times New Roman" w:hAnsi="Times New Roman"/>
          <w:sz w:val="28"/>
        </w:rPr>
        <w:t>УДп</w:t>
      </w:r>
      <w:r>
        <w:rPr>
          <w:rFonts w:ascii="Times New Roman" w:hAnsi="Times New Roman"/>
          <w:sz w:val="28"/>
        </w:rPr>
        <w:t xml:space="preserve"> + 0,5 * </w:t>
      </w:r>
      <w:r>
        <w:rPr>
          <w:rFonts w:ascii="Times New Roman" w:hAnsi="Times New Roman"/>
          <w:sz w:val="28"/>
        </w:rPr>
        <w:t>УДстр.эл</w:t>
      </w:r>
      <w:r>
        <w:rPr>
          <w:rFonts w:ascii="Times New Roman" w:hAnsi="Times New Roman"/>
          <w:sz w:val="28"/>
        </w:rPr>
        <w:t>.,</w:t>
      </w:r>
      <w:r>
        <w:rPr>
          <w:rFonts w:ascii="Times New Roman" w:hAnsi="Times New Roman"/>
          <w:sz w:val="28"/>
        </w:rPr>
        <w:t xml:space="preserve"> где:</w:t>
      </w:r>
    </w:p>
    <w:p w14:paraId="67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68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УДп</w:t>
      </w:r>
      <w:r>
        <w:rPr>
          <w:rFonts w:ascii="Times New Roman" w:hAnsi="Times New Roman"/>
          <w:sz w:val="28"/>
        </w:rPr>
        <w:t xml:space="preserve"> - уровень достижения показателей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>программы (комплексной программы) в отчетном периоде;</w:t>
      </w:r>
    </w:p>
    <w:p w14:paraId="69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УДстр.эл</w:t>
      </w:r>
      <w:r>
        <w:rPr>
          <w:rFonts w:ascii="Times New Roman" w:hAnsi="Times New Roman"/>
          <w:sz w:val="28"/>
        </w:rPr>
        <w:t xml:space="preserve">. - уровень достижения структурных элементов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 в отчетном периоде.</w:t>
      </w:r>
    </w:p>
    <w:p w14:paraId="6A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расчет уровня достижения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 не включаются аналитические показатели такой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программы).</w:t>
      </w:r>
    </w:p>
    <w:p w14:paraId="6B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показатель включен одновременно в паспорт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 и в паспорт структурного элемента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программы), то в расчете уровня достижения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 такой показатель учитывается единожды как показатель уровня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программы).</w:t>
      </w:r>
    </w:p>
    <w:p w14:paraId="6C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73. Уровень достижения показателей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 (</w:t>
      </w:r>
      <w:r>
        <w:rPr>
          <w:rFonts w:ascii="Times New Roman" w:hAnsi="Times New Roman"/>
          <w:sz w:val="28"/>
        </w:rPr>
        <w:t>УДп</w:t>
      </w:r>
      <w:r>
        <w:rPr>
          <w:rFonts w:ascii="Times New Roman" w:hAnsi="Times New Roman"/>
          <w:sz w:val="28"/>
        </w:rPr>
        <w:t xml:space="preserve">) в отчетном периоде рассчитывается исходя из среднего значения уровней достижения всех показателей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 по формуле:</w:t>
      </w:r>
    </w:p>
    <w:p w14:paraId="6D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6E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Calibri" w:hAnsi="Calibri"/>
          <w:color w:val="000000"/>
          <w:sz w:val="22"/>
        </w:rPr>
        <w:drawing>
          <wp:inline>
            <wp:extent cx="1291590" cy="56007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1291590" cy="56007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14:paraId="6F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70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УДпi</w:t>
      </w:r>
      <w:r>
        <w:rPr>
          <w:rFonts w:ascii="Times New Roman" w:hAnsi="Times New Roman"/>
          <w:sz w:val="28"/>
        </w:rPr>
        <w:t xml:space="preserve"> - уровень достижения i-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показателя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>программы (комплексной программы);</w:t>
      </w:r>
    </w:p>
    <w:p w14:paraId="71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P - количество показателей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программы).</w:t>
      </w:r>
    </w:p>
    <w:p w14:paraId="72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74. Базовой формулой для расчета уровня достижения показателя (</w:t>
      </w:r>
      <w:r>
        <w:rPr>
          <w:rFonts w:ascii="Times New Roman" w:hAnsi="Times New Roman"/>
          <w:sz w:val="28"/>
        </w:rPr>
        <w:t>УДпi</w:t>
      </w:r>
      <w:r>
        <w:rPr>
          <w:rFonts w:ascii="Times New Roman" w:hAnsi="Times New Roman"/>
          <w:sz w:val="28"/>
        </w:rPr>
        <w:t>), для которого возможно осуществление расчета, при достижении его не в полном объеме и на дату расчета уровня достижения которого наступила плановая дата его достижения или имеется информация о фактическом досрочном достижении, является:</w:t>
      </w:r>
    </w:p>
    <w:p w14:paraId="73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74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Calibri" w:hAnsi="Calibri"/>
          <w:color w:val="000000"/>
          <w:sz w:val="22"/>
        </w:rPr>
        <w:drawing>
          <wp:inline>
            <wp:extent cx="2457450" cy="54864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2457450" cy="54864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14:paraId="75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76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ПП - плановое значение показателя;</w:t>
      </w:r>
    </w:p>
    <w:p w14:paraId="77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Пф</w:t>
      </w:r>
      <w:r>
        <w:rPr>
          <w:rFonts w:ascii="Times New Roman" w:hAnsi="Times New Roman"/>
          <w:sz w:val="28"/>
        </w:rPr>
        <w:t xml:space="preserve"> - фактическое значение показателя;</w:t>
      </w:r>
    </w:p>
    <w:p w14:paraId="78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Кн</w:t>
      </w:r>
      <w:r>
        <w:rPr>
          <w:rFonts w:ascii="Times New Roman" w:hAnsi="Times New Roman"/>
          <w:sz w:val="28"/>
        </w:rPr>
        <w:t xml:space="preserve"> - понижающий коэффициент показателя;</w:t>
      </w:r>
    </w:p>
    <w:p w14:paraId="79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X - индикатор возрастания (убывания).</w:t>
      </w:r>
    </w:p>
    <w:p w14:paraId="7A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Индикатор возрастания (убывания) для показателей определяется на основании информации, содержащейся в паспорте. Для убывающих показателей X считается равным -1 (минус единица), для возрастающих показателей считается равным 1. В случае отсутствия указанной информации в паспорте проекта индикатор возрастания (убывания) для показателей рассчитывается по формуле:</w:t>
      </w:r>
    </w:p>
    <w:p w14:paraId="7B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7C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Calibri" w:hAnsi="Calibri"/>
          <w:color w:val="000000"/>
          <w:sz w:val="22"/>
        </w:rPr>
        <w:drawing>
          <wp:inline>
            <wp:extent cx="902970" cy="560070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5"/>
                    <a:srcRect b="0" l="0" r="0" t="0"/>
                    <a:stretch/>
                  </pic:blipFill>
                  <pic:spPr>
                    <a:xfrm flipH="false" flipV="false" rot="0">
                      <a:ext cx="902970" cy="56007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14:paraId="7D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7E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Пб - базовое значение показателя;</w:t>
      </w:r>
    </w:p>
    <w:p w14:paraId="7F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Пц</w:t>
      </w:r>
      <w:r>
        <w:rPr>
          <w:rFonts w:ascii="Times New Roman" w:hAnsi="Times New Roman"/>
          <w:sz w:val="28"/>
        </w:rPr>
        <w:t xml:space="preserve"> - плановое значение показателя на последнюю плановую дату его реализации.</w:t>
      </w:r>
    </w:p>
    <w:p w14:paraId="80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расчета уровня достижения показателя, у которого плановое значение отсутствует или равно 0, при этом имеется информация о фактическом досрочном достижении, плановым значением такого показателя считается его первое последующее плановое значение, отличное от 0.</w:t>
      </w:r>
    </w:p>
    <w:p w14:paraId="81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74.1. Если на плановую дату достижения показателя или позднее отсутствует информация о его фактически достигнутом значении, при расчете уровня достижения показателя:</w:t>
      </w:r>
    </w:p>
    <w:p w14:paraId="82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для показателей, спланированных нарастающим итогом, учитывается их последнее фактическое значение на дату расчета;</w:t>
      </w:r>
    </w:p>
    <w:p w14:paraId="83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для показателей, спланированных </w:t>
      </w:r>
      <w:r>
        <w:rPr>
          <w:rFonts w:ascii="Times New Roman" w:hAnsi="Times New Roman"/>
          <w:sz w:val="28"/>
        </w:rPr>
        <w:t>ненарастающим</w:t>
      </w:r>
      <w:r>
        <w:rPr>
          <w:rFonts w:ascii="Times New Roman" w:hAnsi="Times New Roman"/>
          <w:sz w:val="28"/>
        </w:rPr>
        <w:t xml:space="preserve"> итогом, применяется понижающий коэффициент (</w:t>
      </w:r>
      <w:r>
        <w:rPr>
          <w:rFonts w:ascii="Times New Roman" w:hAnsi="Times New Roman"/>
          <w:sz w:val="28"/>
        </w:rPr>
        <w:t>Кн</w:t>
      </w:r>
      <w:r>
        <w:rPr>
          <w:rFonts w:ascii="Times New Roman" w:hAnsi="Times New Roman"/>
          <w:sz w:val="28"/>
        </w:rPr>
        <w:t>), равный 0.</w:t>
      </w:r>
    </w:p>
    <w:p w14:paraId="84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наличия информации о фактически достигнутом значении показателя и ее подтверждения понижающий коэффициент показателя (</w:t>
      </w:r>
      <w:r>
        <w:rPr>
          <w:rFonts w:ascii="Times New Roman" w:hAnsi="Times New Roman"/>
          <w:sz w:val="28"/>
        </w:rPr>
        <w:t>Кн</w:t>
      </w:r>
      <w:r>
        <w:rPr>
          <w:rFonts w:ascii="Times New Roman" w:hAnsi="Times New Roman"/>
          <w:sz w:val="28"/>
        </w:rPr>
        <w:t>) равен 1.</w:t>
      </w:r>
    </w:p>
    <w:p w14:paraId="85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74.2. В случае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если уровень достижения показателя превышает 100 процентов, уровень достижения такого показателя в расчете приравнивается к 100 процентам.</w:t>
      </w:r>
    </w:p>
    <w:p w14:paraId="86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уровень достижения показателя принимает отрицательное значение, уровень достижения такого показателя в расчете приравнивается к 0.</w:t>
      </w:r>
    </w:p>
    <w:p w14:paraId="87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75. Уровень достижения структурных элементов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>программы (комплексной программы) (</w:t>
      </w:r>
      <w:r>
        <w:rPr>
          <w:rFonts w:ascii="Times New Roman" w:hAnsi="Times New Roman"/>
          <w:sz w:val="28"/>
        </w:rPr>
        <w:t>УДстр.эл</w:t>
      </w:r>
      <w:r>
        <w:rPr>
          <w:rFonts w:ascii="Times New Roman" w:hAnsi="Times New Roman"/>
          <w:sz w:val="28"/>
        </w:rPr>
        <w:t>.) рассчитывается исходя из средневзвешенного значения уровней достижения всех структурных элементов по формуле:</w:t>
      </w:r>
    </w:p>
    <w:p w14:paraId="88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89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Calibri" w:hAnsi="Calibri"/>
          <w:color w:val="000000"/>
          <w:sz w:val="22"/>
        </w:rPr>
        <w:drawing>
          <wp:inline>
            <wp:extent cx="2286000" cy="674370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6"/>
                    <a:srcRect b="0" l="0" r="0" t="0"/>
                    <a:stretch/>
                  </pic:blipFill>
                  <pic:spPr>
                    <a:xfrm flipH="false" flipV="false" rot="0">
                      <a:ext cx="2286000" cy="67437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14:paraId="8A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8B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УДстр.эл.i</w:t>
      </w:r>
      <w:r>
        <w:rPr>
          <w:rFonts w:ascii="Times New Roman" w:hAnsi="Times New Roman"/>
          <w:sz w:val="28"/>
        </w:rPr>
        <w:t xml:space="preserve"> - уровень достижения i-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структурного элемента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программы);</w:t>
      </w:r>
    </w:p>
    <w:p w14:paraId="8C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Кв - повышающий коэффициент;</w:t>
      </w:r>
    </w:p>
    <w:p w14:paraId="8D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L - количество структурных элементов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>программы (комплексной программы).</w:t>
      </w:r>
    </w:p>
    <w:p w14:paraId="8E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Определение значения повышающего коэффициента (Кв) </w:t>
      </w:r>
      <w:r>
        <w:rPr>
          <w:rFonts w:ascii="Times New Roman" w:hAnsi="Times New Roman"/>
          <w:sz w:val="28"/>
        </w:rPr>
        <w:t xml:space="preserve">осуществляется с учетом типа структурного элемента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программы):</w:t>
      </w:r>
    </w:p>
    <w:p w14:paraId="8F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для регионального проекта, направленного на достижение национального проекта, - 2;</w:t>
      </w:r>
    </w:p>
    <w:p w14:paraId="90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для иного регионального проекта - 1,5;</w:t>
      </w:r>
    </w:p>
    <w:p w14:paraId="91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для ведомственного регионального проекта и комплекса процессных мероприятий - 1.</w:t>
      </w:r>
    </w:p>
    <w:p w14:paraId="92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76. Уровень достижения структурного элемента - регионального проекта, направленного на достижение национального проекта, формируется автоматически в подсистеме анализа реализации национальных проектов государственной автоматизированной информационной системы "Управление".</w:t>
      </w:r>
    </w:p>
    <w:p w14:paraId="93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Уровень достижения структурных элементов - иного регионального проекта, ведомственного регионального проекта, комплекса процессных мероприятий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 (</w:t>
      </w:r>
      <w:r>
        <w:rPr>
          <w:rFonts w:ascii="Times New Roman" w:hAnsi="Times New Roman"/>
          <w:sz w:val="28"/>
        </w:rPr>
        <w:t>УДстр.эл.i</w:t>
      </w:r>
      <w:r>
        <w:rPr>
          <w:rFonts w:ascii="Times New Roman" w:hAnsi="Times New Roman"/>
          <w:sz w:val="28"/>
        </w:rPr>
        <w:t>) рассчитывается по формуле:</w:t>
      </w:r>
    </w:p>
    <w:p w14:paraId="94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95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УДстр.эл.i</w:t>
      </w:r>
      <w:r>
        <w:rPr>
          <w:rFonts w:ascii="Times New Roman" w:hAnsi="Times New Roman"/>
          <w:sz w:val="28"/>
        </w:rPr>
        <w:t xml:space="preserve"> = 0,5 * </w:t>
      </w:r>
      <w:r>
        <w:rPr>
          <w:rFonts w:ascii="Times New Roman" w:hAnsi="Times New Roman"/>
          <w:sz w:val="28"/>
        </w:rPr>
        <w:t>УДпсэ</w:t>
      </w:r>
      <w:r>
        <w:rPr>
          <w:rFonts w:ascii="Times New Roman" w:hAnsi="Times New Roman"/>
          <w:sz w:val="28"/>
        </w:rPr>
        <w:t xml:space="preserve"> + 0,5 * </w:t>
      </w:r>
      <w:r>
        <w:rPr>
          <w:rFonts w:ascii="Times New Roman" w:hAnsi="Times New Roman"/>
          <w:sz w:val="28"/>
        </w:rPr>
        <w:t>УДрез</w:t>
      </w:r>
      <w:r>
        <w:rPr>
          <w:rFonts w:ascii="Times New Roman" w:hAnsi="Times New Roman"/>
          <w:sz w:val="28"/>
        </w:rPr>
        <w:t>, где:</w:t>
      </w:r>
    </w:p>
    <w:p w14:paraId="96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97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УДпсэ</w:t>
      </w:r>
      <w:r>
        <w:rPr>
          <w:rFonts w:ascii="Times New Roman" w:hAnsi="Times New Roman"/>
          <w:sz w:val="28"/>
        </w:rPr>
        <w:t xml:space="preserve"> - уровень достижения показателей структурного элемента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программы);</w:t>
      </w:r>
    </w:p>
    <w:p w14:paraId="98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УДрез</w:t>
      </w:r>
      <w:r>
        <w:rPr>
          <w:rFonts w:ascii="Times New Roman" w:hAnsi="Times New Roman"/>
          <w:sz w:val="28"/>
        </w:rPr>
        <w:t xml:space="preserve"> - уровень достижения мероприятий (результатов) структурного элемента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программы).</w:t>
      </w:r>
    </w:p>
    <w:p w14:paraId="99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77. В случае отсутствия запланированных или досрочно достигнутых значений показателей на дату расчета уровня достижения или при наличии показателей только с плановым значением, равным 0, расчет уровня достижения структурного элемента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 (</w:t>
      </w:r>
      <w:r>
        <w:rPr>
          <w:rFonts w:ascii="Times New Roman" w:hAnsi="Times New Roman"/>
          <w:sz w:val="28"/>
        </w:rPr>
        <w:t>УДстр.эл.i</w:t>
      </w:r>
      <w:r>
        <w:rPr>
          <w:rFonts w:ascii="Times New Roman" w:hAnsi="Times New Roman"/>
          <w:sz w:val="28"/>
        </w:rPr>
        <w:t>) осуществляется по формуле:</w:t>
      </w:r>
    </w:p>
    <w:p w14:paraId="9A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9B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УДстр.эл.i</w:t>
      </w:r>
      <w:r>
        <w:rPr>
          <w:rFonts w:ascii="Times New Roman" w:hAnsi="Times New Roman"/>
          <w:sz w:val="28"/>
        </w:rPr>
        <w:t xml:space="preserve"> = </w:t>
      </w:r>
      <w:r>
        <w:rPr>
          <w:rFonts w:ascii="Times New Roman" w:hAnsi="Times New Roman"/>
          <w:sz w:val="28"/>
        </w:rPr>
        <w:t>УДрез</w:t>
      </w:r>
      <w:r>
        <w:rPr>
          <w:rFonts w:ascii="Times New Roman" w:hAnsi="Times New Roman"/>
          <w:sz w:val="28"/>
        </w:rPr>
        <w:t>.</w:t>
      </w:r>
    </w:p>
    <w:p w14:paraId="9C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9D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78. Уровень достижения показателей структурного элемента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 (</w:t>
      </w:r>
      <w:r>
        <w:rPr>
          <w:rFonts w:ascii="Times New Roman" w:hAnsi="Times New Roman"/>
          <w:sz w:val="28"/>
        </w:rPr>
        <w:t>УДпсэ</w:t>
      </w:r>
      <w:r>
        <w:rPr>
          <w:rFonts w:ascii="Times New Roman" w:hAnsi="Times New Roman"/>
          <w:sz w:val="28"/>
        </w:rPr>
        <w:t>) рассчитывается по формуле:</w:t>
      </w:r>
    </w:p>
    <w:p w14:paraId="9E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9F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Calibri" w:hAnsi="Calibri"/>
          <w:color w:val="000000"/>
          <w:sz w:val="22"/>
        </w:rPr>
        <w:drawing>
          <wp:inline>
            <wp:extent cx="1474470" cy="605790"/>
            <wp:effectExtent b="0" l="0" r="0" t="0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1474470" cy="60579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14:paraId="A0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A1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УДпсэi</w:t>
      </w:r>
      <w:r>
        <w:rPr>
          <w:rFonts w:ascii="Times New Roman" w:hAnsi="Times New Roman"/>
          <w:sz w:val="28"/>
        </w:rPr>
        <w:t xml:space="preserve"> - уровень достижения i-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показателя структурного элемента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программы);</w:t>
      </w:r>
    </w:p>
    <w:p w14:paraId="A2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Nпсэ</w:t>
      </w:r>
      <w:r>
        <w:rPr>
          <w:rFonts w:ascii="Times New Roman" w:hAnsi="Times New Roman"/>
          <w:sz w:val="28"/>
        </w:rPr>
        <w:t xml:space="preserve"> - количество запланированных и (или) досрочно достигнутых показателей структурного элемента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 без учета прокси-показателей.</w:t>
      </w:r>
    </w:p>
    <w:p w14:paraId="A3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расчете указанного уровня достижения учитываются показатели:</w:t>
      </w:r>
    </w:p>
    <w:p w14:paraId="A4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которым на дату расчета установлено плановое значение;</w:t>
      </w:r>
    </w:p>
    <w:p w14:paraId="A5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которым на дату расчета есть информация о фактическом досрочном достижении;</w:t>
      </w:r>
    </w:p>
    <w:p w14:paraId="A6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завершенные показатели в случае, если на дату завершения наступила плановая дата их достижения.</w:t>
      </w:r>
    </w:p>
    <w:p w14:paraId="A7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79. Базовой формулой для расчета уровня достижения показателя структурного элемента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 (</w:t>
      </w:r>
      <w:r>
        <w:rPr>
          <w:rFonts w:ascii="Times New Roman" w:hAnsi="Times New Roman"/>
          <w:sz w:val="28"/>
        </w:rPr>
        <w:t>УДпсэi</w:t>
      </w:r>
      <w:r>
        <w:rPr>
          <w:rFonts w:ascii="Times New Roman" w:hAnsi="Times New Roman"/>
          <w:sz w:val="28"/>
        </w:rPr>
        <w:t>), для которого возможно осуществление расчета, при достижении его не в полном объеме и на дату расчета уровня достижения которого наступила плановая дата его достижения или имеется информация о фактическом досрочном достижении, является:</w:t>
      </w:r>
    </w:p>
    <w:p w14:paraId="A8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A9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Calibri" w:hAnsi="Calibri"/>
          <w:color w:val="000000"/>
          <w:sz w:val="22"/>
        </w:rPr>
        <w:drawing>
          <wp:inline>
            <wp:extent cx="2640330" cy="548640"/>
            <wp:effectExtent b="0" l="0" r="0" t="0"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8"/>
                    <a:srcRect b="0" l="0" r="0" t="0"/>
                    <a:stretch/>
                  </pic:blipFill>
                  <pic:spPr>
                    <a:xfrm flipH="false" flipV="false" rot="0">
                      <a:ext cx="2640330" cy="54864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14:paraId="AA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AB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Псэп</w:t>
      </w:r>
      <w:r>
        <w:rPr>
          <w:rFonts w:ascii="Times New Roman" w:hAnsi="Times New Roman"/>
          <w:sz w:val="28"/>
        </w:rPr>
        <w:t xml:space="preserve"> - плановое значение показателя структурного элемента </w:t>
      </w:r>
      <w:r>
        <w:rPr>
          <w:rFonts w:ascii="Times New Roman" w:hAnsi="Times New Roman"/>
          <w:sz w:val="28"/>
        </w:rPr>
        <w:t>муниципальнойм</w:t>
      </w:r>
      <w:r>
        <w:rPr>
          <w:rFonts w:ascii="Times New Roman" w:hAnsi="Times New Roman"/>
          <w:sz w:val="28"/>
        </w:rPr>
        <w:t xml:space="preserve"> программы (комплексной программы);</w:t>
      </w:r>
    </w:p>
    <w:p w14:paraId="AC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Псэф</w:t>
      </w:r>
      <w:r>
        <w:rPr>
          <w:rFonts w:ascii="Times New Roman" w:hAnsi="Times New Roman"/>
          <w:sz w:val="28"/>
        </w:rPr>
        <w:t xml:space="preserve"> - фактическое значение показателя структурного элемента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программы);</w:t>
      </w:r>
    </w:p>
    <w:p w14:paraId="AD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Кн</w:t>
      </w:r>
      <w:r>
        <w:rPr>
          <w:rFonts w:ascii="Times New Roman" w:hAnsi="Times New Roman"/>
          <w:sz w:val="28"/>
        </w:rPr>
        <w:t xml:space="preserve"> - понижающий коэффициент показателя;</w:t>
      </w:r>
    </w:p>
    <w:p w14:paraId="AE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X - индикатор возрастания (убывания).</w:t>
      </w:r>
    </w:p>
    <w:p w14:paraId="AF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Индикатор возрастания (убывания) для показателей структурного элемента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 определяется на основании информации, содержащейся в паспорте. Для убывающих показателей X считается равным -1 (минус единица), для возрастающих показателей считается равным 1. В случае отсутствия указанной информации в паспорте проекта индикатор возрастания (убывания) для показателей рассчитывается по формуле:</w:t>
      </w:r>
    </w:p>
    <w:p w14:paraId="B0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B1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Calibri" w:hAnsi="Calibri"/>
          <w:color w:val="000000"/>
          <w:sz w:val="22"/>
        </w:rPr>
        <w:drawing>
          <wp:inline>
            <wp:extent cx="1085850" cy="560070"/>
            <wp:effectExtent b="0" l="0" r="0" t="0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9"/>
                    <a:srcRect b="0" l="0" r="0" t="0"/>
                    <a:stretch/>
                  </pic:blipFill>
                  <pic:spPr>
                    <a:xfrm flipH="false" flipV="false" rot="0">
                      <a:ext cx="1085850" cy="56007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14:paraId="B2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B3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Псэб</w:t>
      </w:r>
      <w:r>
        <w:rPr>
          <w:rFonts w:ascii="Times New Roman" w:hAnsi="Times New Roman"/>
          <w:sz w:val="28"/>
        </w:rPr>
        <w:t xml:space="preserve"> - базовое значение показателя структурного элемента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программы);</w:t>
      </w:r>
    </w:p>
    <w:p w14:paraId="B4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Псэц</w:t>
      </w:r>
      <w:r>
        <w:rPr>
          <w:rFonts w:ascii="Times New Roman" w:hAnsi="Times New Roman"/>
          <w:sz w:val="28"/>
        </w:rPr>
        <w:t xml:space="preserve"> - плановое значение показателя структурного элемента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 на последнюю плановую дату его реализации.</w:t>
      </w:r>
    </w:p>
    <w:p w14:paraId="B5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расчета уровня достижения показателя структурного элемента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программы), у которого плановое значение отсутствует или равно 0, при этом имеется информация о фактическом досрочном достижении, плановым значением такого показателя считается его первое последующее плановое значение, отличное от 0.</w:t>
      </w:r>
    </w:p>
    <w:p w14:paraId="B6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79.1. Если на плановую дату достижения показателя структурного элемента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 или позднее отсутствует информация о его фактически достигнутом значении, при расчете уровня достижения показателя:</w:t>
      </w:r>
    </w:p>
    <w:p w14:paraId="B7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для показателей структурного элемента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программы), спланированных нарастающим итогом, учитывается их последнее фактическое значение на дату расчета;</w:t>
      </w:r>
    </w:p>
    <w:p w14:paraId="B8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для показателей структурного элемента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программы), спланированных </w:t>
      </w:r>
      <w:r>
        <w:rPr>
          <w:rFonts w:ascii="Times New Roman" w:hAnsi="Times New Roman"/>
          <w:sz w:val="28"/>
        </w:rPr>
        <w:t>ненарастающим</w:t>
      </w:r>
      <w:r>
        <w:rPr>
          <w:rFonts w:ascii="Times New Roman" w:hAnsi="Times New Roman"/>
          <w:sz w:val="28"/>
        </w:rPr>
        <w:t xml:space="preserve"> итогом, применяется понижающий коэффициент (</w:t>
      </w:r>
      <w:r>
        <w:rPr>
          <w:rFonts w:ascii="Times New Roman" w:hAnsi="Times New Roman"/>
          <w:sz w:val="28"/>
        </w:rPr>
        <w:t>Кн</w:t>
      </w:r>
      <w:r>
        <w:rPr>
          <w:rFonts w:ascii="Times New Roman" w:hAnsi="Times New Roman"/>
          <w:sz w:val="28"/>
        </w:rPr>
        <w:t>), равный 0.</w:t>
      </w:r>
    </w:p>
    <w:p w14:paraId="B9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наличия информации о фактически достигнутом значении показателя структурного элемента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 и ее подтверждения понижающий коэффициент показателя (</w:t>
      </w:r>
      <w:r>
        <w:rPr>
          <w:rFonts w:ascii="Times New Roman" w:hAnsi="Times New Roman"/>
          <w:sz w:val="28"/>
        </w:rPr>
        <w:t>Кн</w:t>
      </w:r>
      <w:r>
        <w:rPr>
          <w:rFonts w:ascii="Times New Roman" w:hAnsi="Times New Roman"/>
          <w:sz w:val="28"/>
        </w:rPr>
        <w:t>) равен 1.</w:t>
      </w:r>
    </w:p>
    <w:p w14:paraId="BA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79.2. В случае если уровень достижения показателя структурного элемента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 превышает 100 процентов, уровень достижения такого показателя в расчете приравнивается к 100 процентам.</w:t>
      </w:r>
    </w:p>
    <w:p w14:paraId="BB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если уровень достижения показателя структурного элемента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 принимает отрицательное значение, уровень достижения такого показателя в расчете приравнивается к 0.</w:t>
      </w:r>
    </w:p>
    <w:p w14:paraId="BC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80. Уровень достижения мероприятий (результатов) структурного элемента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 (</w:t>
      </w:r>
      <w:r>
        <w:rPr>
          <w:rFonts w:ascii="Times New Roman" w:hAnsi="Times New Roman"/>
          <w:sz w:val="28"/>
        </w:rPr>
        <w:t>УДрез</w:t>
      </w:r>
      <w:r>
        <w:rPr>
          <w:rFonts w:ascii="Times New Roman" w:hAnsi="Times New Roman"/>
          <w:sz w:val="28"/>
        </w:rPr>
        <w:t>) рассчитывается по формуле:</w:t>
      </w:r>
    </w:p>
    <w:p w14:paraId="BD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BE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Calibri" w:hAnsi="Calibri"/>
          <w:color w:val="000000"/>
          <w:sz w:val="22"/>
        </w:rPr>
        <w:drawing>
          <wp:inline>
            <wp:extent cx="1474470" cy="628650"/>
            <wp:effectExtent b="0" l="0" r="0" t="0"/>
            <wp:docPr hidden="false" id="16" name="Picture 16"/>
            <a:graphic>
              <a:graphicData uri="http://schemas.openxmlformats.org/drawingml/2006/picture">
                <pic:pic>
                  <pic:nvPicPr>
                    <pic:cNvPr hidden="false" id="15" name="Picture 15"/>
                    <pic:cNvPicPr preferRelativeResize="true"/>
                  </pic:nvPicPr>
                  <pic:blipFill>
                    <a:blip r:embed="rId10"/>
                    <a:srcRect b="0" l="0" r="0" t="0"/>
                    <a:stretch/>
                  </pic:blipFill>
                  <pic:spPr>
                    <a:xfrm flipH="false" flipV="false" rot="0">
                      <a:ext cx="1474470" cy="6286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14:paraId="BF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C0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УДрезi</w:t>
      </w:r>
      <w:r>
        <w:rPr>
          <w:rFonts w:ascii="Times New Roman" w:hAnsi="Times New Roman"/>
          <w:sz w:val="28"/>
        </w:rPr>
        <w:t xml:space="preserve"> - уровень достижения i-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мероприятия (результата) структурного элемента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программы);</w:t>
      </w:r>
    </w:p>
    <w:p w14:paraId="C1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Мрез.сэ</w:t>
      </w:r>
      <w:r>
        <w:rPr>
          <w:rFonts w:ascii="Times New Roman" w:hAnsi="Times New Roman"/>
          <w:sz w:val="28"/>
        </w:rPr>
        <w:t xml:space="preserve"> - количество запланированных мероприятий (результатов)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программы).</w:t>
      </w:r>
    </w:p>
    <w:p w14:paraId="C2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расчете указанного уровня достижения учитываются мероприятия (результаты):</w:t>
      </w:r>
    </w:p>
    <w:p w14:paraId="C3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которым на дату расчета установлено плановое значение;</w:t>
      </w:r>
    </w:p>
    <w:p w14:paraId="C4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которым на дату расчета есть информация о фактическом досрочном достижении;</w:t>
      </w:r>
    </w:p>
    <w:p w14:paraId="C5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завершенные мероприятия (результаты) в случае, если на дату завершения наступила плановая дата их достижения.</w:t>
      </w:r>
    </w:p>
    <w:p w14:paraId="C6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81. Уровень достижения мероприятия (результата) структурного элемента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 (</w:t>
      </w:r>
      <w:r>
        <w:rPr>
          <w:rFonts w:ascii="Times New Roman" w:hAnsi="Times New Roman"/>
          <w:sz w:val="28"/>
        </w:rPr>
        <w:t>УДрезi</w:t>
      </w:r>
      <w:r>
        <w:rPr>
          <w:rFonts w:ascii="Times New Roman" w:hAnsi="Times New Roman"/>
          <w:sz w:val="28"/>
        </w:rPr>
        <w:t>) рассчитывается по формуле:</w:t>
      </w:r>
    </w:p>
    <w:p w14:paraId="C7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C8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Calibri" w:hAnsi="Calibri"/>
          <w:color w:val="000000"/>
          <w:sz w:val="22"/>
        </w:rPr>
        <w:drawing>
          <wp:inline>
            <wp:extent cx="3166110" cy="560070"/>
            <wp:effectExtent b="0" l="0" r="0" t="0"/>
            <wp:docPr hidden="false" id="18" name="Picture 18"/>
            <a:graphic>
              <a:graphicData uri="http://schemas.openxmlformats.org/drawingml/2006/picture">
                <pic:pic>
                  <pic:nvPicPr>
                    <pic:cNvPr hidden="false" id="17" name="Picture 17"/>
                    <pic:cNvPicPr preferRelativeResize="true"/>
                  </pic:nvPicPr>
                  <pic:blipFill>
                    <a:blip r:embed="rId11"/>
                    <a:srcRect b="0" l="0" r="0" t="0"/>
                    <a:stretch/>
                  </pic:blipFill>
                  <pic:spPr>
                    <a:xfrm flipH="false" flipV="false" rot="0">
                      <a:ext cx="3166110" cy="56007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14:paraId="C9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CA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Ппл.резi</w:t>
      </w:r>
      <w:r>
        <w:rPr>
          <w:rFonts w:ascii="Times New Roman" w:hAnsi="Times New Roman"/>
          <w:sz w:val="28"/>
        </w:rPr>
        <w:t xml:space="preserve"> - плановое значение i-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мероприятия (результата) на дату расчета или в случае досрочного достижения;</w:t>
      </w:r>
    </w:p>
    <w:p w14:paraId="CB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Пф.резi</w:t>
      </w:r>
      <w:r>
        <w:rPr>
          <w:rFonts w:ascii="Times New Roman" w:hAnsi="Times New Roman"/>
          <w:sz w:val="28"/>
        </w:rPr>
        <w:t xml:space="preserve"> - фактическое значение i-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мероприятия (результата), включая досрочно достигнутые значения;</w:t>
      </w:r>
    </w:p>
    <w:p w14:paraId="CC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КТпл.резi</w:t>
      </w:r>
      <w:r>
        <w:rPr>
          <w:rFonts w:ascii="Times New Roman" w:hAnsi="Times New Roman"/>
          <w:sz w:val="28"/>
        </w:rPr>
        <w:t xml:space="preserve"> - количество контрольных точек i-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мероприятия (результата), установленных на год, в котором осуществляется расчет, или на последующие годы, которые досрочно достигнуты;</w:t>
      </w:r>
    </w:p>
    <w:p w14:paraId="CD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КТф.резi</w:t>
      </w:r>
      <w:r>
        <w:rPr>
          <w:rFonts w:ascii="Times New Roman" w:hAnsi="Times New Roman"/>
          <w:sz w:val="28"/>
        </w:rPr>
        <w:t xml:space="preserve"> - количество достигнутых и досрочно достигнутых контрольных точек i-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мероприятия (результата), установленных на год, в котором осуществляется расчет, или на последующие годы.</w:t>
      </w:r>
    </w:p>
    <w:p w14:paraId="CE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81.1. Если по мероприятию (результату) отсутствуют контрольные точки, установленные на год, в котором осуществляется расчет, или на последующие годы, у которых на дату расчета наступила плановая дата достижения и (или) которые досрочно достигнуты, уровень достижения мероприятия (результата) рассчитывается по формуле:</w:t>
      </w:r>
    </w:p>
    <w:p w14:paraId="CF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D0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Calibri" w:hAnsi="Calibri"/>
          <w:color w:val="000000"/>
          <w:sz w:val="22"/>
        </w:rPr>
        <w:drawing>
          <wp:inline>
            <wp:extent cx="1680210" cy="560070"/>
            <wp:effectExtent b="0" l="0" r="0" t="0"/>
            <wp:docPr hidden="false" id="20" name="Picture 20"/>
            <a:graphic>
              <a:graphicData uri="http://schemas.openxmlformats.org/drawingml/2006/picture">
                <pic:pic>
                  <pic:nvPicPr>
                    <pic:cNvPr hidden="false" id="19" name="Picture 19"/>
                    <pic:cNvPicPr preferRelativeResize="true"/>
                  </pic:nvPicPr>
                  <pic:blipFill>
                    <a:blip r:embed="rId12"/>
                    <a:srcRect b="0" l="0" r="0" t="0"/>
                    <a:stretch/>
                  </pic:blipFill>
                  <pic:spPr>
                    <a:xfrm flipH="false" flipV="false" rot="0">
                      <a:ext cx="1680210" cy="56007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.</w:t>
      </w:r>
    </w:p>
    <w:p w14:paraId="D1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D2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81.2. Если на дату расчета по мероприятию (результату) структурного элемента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 отсутствует информация о фактическом достижении мероприятия (результата) и не наступила плановая дата достижения или плановое значение равно 0, уровень достижения мероприятия (результата) (</w:t>
      </w:r>
      <w:r>
        <w:rPr>
          <w:rFonts w:ascii="Times New Roman" w:hAnsi="Times New Roman"/>
          <w:sz w:val="28"/>
        </w:rPr>
        <w:t>УДрезi</w:t>
      </w:r>
      <w:r>
        <w:rPr>
          <w:rFonts w:ascii="Times New Roman" w:hAnsi="Times New Roman"/>
          <w:sz w:val="28"/>
        </w:rPr>
        <w:t>) рассчитывается по формуле:</w:t>
      </w:r>
    </w:p>
    <w:p w14:paraId="D3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D4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Calibri" w:hAnsi="Calibri"/>
          <w:color w:val="000000"/>
          <w:sz w:val="22"/>
        </w:rPr>
        <w:drawing>
          <wp:inline>
            <wp:extent cx="1783079" cy="560070"/>
            <wp:effectExtent b="0" l="0" r="0" t="0"/>
            <wp:docPr hidden="false" id="22" name="Picture 22"/>
            <a:graphic>
              <a:graphicData uri="http://schemas.openxmlformats.org/drawingml/2006/picture">
                <pic:pic>
                  <pic:nvPicPr>
                    <pic:cNvPr hidden="false" id="21" name="Picture 21"/>
                    <pic:cNvPicPr preferRelativeResize="true"/>
                  </pic:nvPicPr>
                  <pic:blipFill>
                    <a:blip r:embed="rId13"/>
                    <a:srcRect b="0" l="0" r="0" t="0"/>
                    <a:stretch/>
                  </pic:blipFill>
                  <pic:spPr>
                    <a:xfrm flipH="false" flipV="false" rot="0">
                      <a:ext cx="1783079" cy="56007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.</w:t>
      </w:r>
    </w:p>
    <w:p w14:paraId="D5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D6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81.3. Мероприятия (результаты) с типом "Осуществление текущей деятельности" не включаются в расчет уровня достижения.</w:t>
      </w:r>
    </w:p>
    <w:p w14:paraId="D7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82. Оценка качества финансового управления (</w:t>
      </w:r>
      <w:r>
        <w:rPr>
          <w:rFonts w:ascii="Times New Roman" w:hAnsi="Times New Roman"/>
          <w:sz w:val="28"/>
        </w:rPr>
        <w:t>ФУгп</w:t>
      </w:r>
      <w:r>
        <w:rPr>
          <w:rFonts w:ascii="Times New Roman" w:hAnsi="Times New Roman"/>
          <w:sz w:val="28"/>
        </w:rPr>
        <w:t xml:space="preserve">) при реализации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 за счет всех источников, направленных на реализацию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программы), рассчитывается по формуле:</w:t>
      </w:r>
    </w:p>
    <w:p w14:paraId="D8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D9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Calibri" w:hAnsi="Calibri"/>
          <w:color w:val="000000"/>
          <w:sz w:val="22"/>
        </w:rPr>
        <w:drawing>
          <wp:inline>
            <wp:extent cx="1520190" cy="548640"/>
            <wp:effectExtent b="0" l="0" r="0" t="0"/>
            <wp:docPr hidden="false" id="24" name="Picture 24"/>
            <a:graphic>
              <a:graphicData uri="http://schemas.openxmlformats.org/drawingml/2006/picture">
                <pic:pic>
                  <pic:nvPicPr>
                    <pic:cNvPr hidden="false" id="23" name="Picture 23"/>
                    <pic:cNvPicPr preferRelativeResize="true"/>
                  </pic:nvPicPr>
                  <pic:blipFill>
                    <a:blip r:embed="rId14"/>
                    <a:srcRect b="0" l="0" r="0" t="0"/>
                    <a:stretch/>
                  </pic:blipFill>
                  <pic:spPr>
                    <a:xfrm flipH="false" flipV="false" rot="0">
                      <a:ext cx="1520190" cy="54864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14:paraId="DA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DB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ФУгп</w:t>
      </w:r>
      <w:r>
        <w:rPr>
          <w:rFonts w:ascii="Times New Roman" w:hAnsi="Times New Roman"/>
          <w:sz w:val="28"/>
        </w:rPr>
        <w:t xml:space="preserve"> - качество финансового управления реализацией </w:t>
      </w:r>
      <w:r>
        <w:rPr>
          <w:rFonts w:ascii="Times New Roman" w:hAnsi="Times New Roman"/>
          <w:sz w:val="28"/>
        </w:rPr>
        <w:t xml:space="preserve">муниципальной </w:t>
      </w:r>
      <w:r>
        <w:rPr>
          <w:rFonts w:ascii="Times New Roman" w:hAnsi="Times New Roman"/>
          <w:sz w:val="28"/>
        </w:rPr>
        <w:t>программы (комплексной программы);</w:t>
      </w:r>
    </w:p>
    <w:p w14:paraId="DC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ОФф</w:t>
      </w:r>
      <w:r>
        <w:rPr>
          <w:rFonts w:ascii="Times New Roman" w:hAnsi="Times New Roman"/>
          <w:sz w:val="28"/>
        </w:rPr>
        <w:t xml:space="preserve"> - фактический объем финансирования региональных проектов, направленных на достижение национальных проектов, иных региональных проектов, ведомственных региональных проектов, комплексов процессных мероприятий, включенных в </w:t>
      </w:r>
      <w:r>
        <w:rPr>
          <w:rFonts w:ascii="Times New Roman" w:hAnsi="Times New Roman"/>
          <w:sz w:val="28"/>
        </w:rPr>
        <w:t xml:space="preserve">муниципальную </w:t>
      </w:r>
      <w:r>
        <w:rPr>
          <w:rFonts w:ascii="Times New Roman" w:hAnsi="Times New Roman"/>
          <w:sz w:val="28"/>
        </w:rPr>
        <w:t>программу (комплексную программу) (кассовое исполнение за счет всех источников финансового обеспечения, указанных в пункте 34 настоящего Положения);</w:t>
      </w:r>
    </w:p>
    <w:p w14:paraId="DD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ОФп</w:t>
      </w:r>
      <w:r>
        <w:rPr>
          <w:rFonts w:ascii="Times New Roman" w:hAnsi="Times New Roman"/>
          <w:sz w:val="28"/>
        </w:rPr>
        <w:t xml:space="preserve"> - плановый объем финансирования региональных проектов, направленных на достижение национальных проектов, иных региональных проектов, ведомственных региональных проектов, комплексов процессных мероприятий, включенных в </w:t>
      </w:r>
      <w:r>
        <w:rPr>
          <w:rFonts w:ascii="Times New Roman" w:hAnsi="Times New Roman"/>
          <w:sz w:val="28"/>
        </w:rPr>
        <w:t xml:space="preserve">муниципальную </w:t>
      </w:r>
      <w:r>
        <w:rPr>
          <w:rFonts w:ascii="Times New Roman" w:hAnsi="Times New Roman"/>
          <w:sz w:val="28"/>
        </w:rPr>
        <w:t xml:space="preserve">программу (комплексную программу) (сводная бюджетная роспись соответствующих бюджетов и внебюджетные источники, предусмотренные паспортом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программы).</w:t>
      </w:r>
    </w:p>
    <w:p w14:paraId="DE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83. По количественному значению оценки (</w:t>
      </w:r>
      <w:r>
        <w:rPr>
          <w:rFonts w:ascii="Times New Roman" w:hAnsi="Times New Roman"/>
          <w:sz w:val="28"/>
        </w:rPr>
        <w:t>Rгп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программе (комплексной программе) присваивается соответствующая качественная оценка:</w:t>
      </w:r>
    </w:p>
    <w:p w14:paraId="DF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высокая эффективность реализации;</w:t>
      </w:r>
    </w:p>
    <w:p w14:paraId="E0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эффективность реализации выше средней;</w:t>
      </w:r>
    </w:p>
    <w:p w14:paraId="E1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эффективность реализации ниже средней;</w:t>
      </w:r>
    </w:p>
    <w:p w14:paraId="E2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низкая эффективность реализации.</w:t>
      </w:r>
    </w:p>
    <w:p w14:paraId="E3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</w:t>
      </w:r>
      <w:r>
        <w:rPr>
          <w:rFonts w:ascii="Times New Roman" w:hAnsi="Times New Roman"/>
          <w:sz w:val="28"/>
        </w:rPr>
        <w:t xml:space="preserve"> программа (комплексная программа) относится к категории "высокая эффективность реализации", если оценка эффективности реализации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 составляет более 90 процентов (включительно).</w:t>
      </w:r>
    </w:p>
    <w:p w14:paraId="E4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</w:t>
      </w:r>
      <w:r>
        <w:rPr>
          <w:rFonts w:ascii="Times New Roman" w:hAnsi="Times New Roman"/>
          <w:sz w:val="28"/>
        </w:rPr>
        <w:t xml:space="preserve"> программа (комплексная программа) относится к категории "эффективность реализации выше среднего", если оценка эффективности реализации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</w:t>
      </w:r>
      <w:r>
        <w:rPr>
          <w:rFonts w:ascii="Times New Roman" w:hAnsi="Times New Roman"/>
          <w:sz w:val="28"/>
        </w:rPr>
        <w:t xml:space="preserve">программы) находится в диапазоне выше среднего значения эффективности реализации государственных программ </w:t>
      </w:r>
      <w:r>
        <w:rPr>
          <w:rFonts w:ascii="Times New Roman" w:hAnsi="Times New Roman"/>
          <w:sz w:val="28"/>
        </w:rPr>
        <w:t>Rгп.ср</w:t>
      </w:r>
      <w:r>
        <w:rPr>
          <w:rFonts w:ascii="Times New Roman" w:hAnsi="Times New Roman"/>
          <w:sz w:val="28"/>
        </w:rPr>
        <w:t xml:space="preserve"> до 90 процентов.</w:t>
      </w:r>
    </w:p>
    <w:p w14:paraId="E5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</w:t>
      </w:r>
      <w:r>
        <w:rPr>
          <w:rFonts w:ascii="Times New Roman" w:hAnsi="Times New Roman"/>
          <w:sz w:val="28"/>
        </w:rPr>
        <w:t xml:space="preserve"> программа (комплексная программа) относится к категории "эффективность реализации ниже среднего", если оценка эффективности реализации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 находится в диапазоне ниже среднего значения эффективности реализации государственных программ </w:t>
      </w:r>
      <w:r>
        <w:rPr>
          <w:rFonts w:ascii="Times New Roman" w:hAnsi="Times New Roman"/>
          <w:sz w:val="28"/>
        </w:rPr>
        <w:t>Rгп.ср</w:t>
      </w:r>
      <w:r>
        <w:rPr>
          <w:rFonts w:ascii="Times New Roman" w:hAnsi="Times New Roman"/>
          <w:sz w:val="28"/>
        </w:rPr>
        <w:t xml:space="preserve"> до 40 процентов.</w:t>
      </w:r>
    </w:p>
    <w:p w14:paraId="E6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</w:t>
      </w:r>
      <w:r>
        <w:rPr>
          <w:rFonts w:ascii="Times New Roman" w:hAnsi="Times New Roman"/>
          <w:sz w:val="28"/>
        </w:rPr>
        <w:t xml:space="preserve"> программа (комплексная программа) относится к категории "низкая эффективность реализации", если оценка эффективности реализации </w:t>
      </w:r>
      <w:r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(комплексной программы) составляет менее 40 процентов (включительно).</w:t>
      </w:r>
    </w:p>
    <w:p w14:paraId="E7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84. Среднее значение эффективности реализации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программ </w:t>
      </w:r>
      <w:r>
        <w:rPr>
          <w:rFonts w:ascii="Times New Roman" w:hAnsi="Times New Roman"/>
          <w:sz w:val="28"/>
        </w:rPr>
        <w:t>Rгп.ср</w:t>
      </w:r>
      <w:r>
        <w:rPr>
          <w:rFonts w:ascii="Times New Roman" w:hAnsi="Times New Roman"/>
          <w:sz w:val="28"/>
        </w:rPr>
        <w:t xml:space="preserve"> в отчетном году рассчитывается по формуле:</w:t>
      </w:r>
    </w:p>
    <w:p w14:paraId="E8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E9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Calibri" w:hAnsi="Calibri"/>
          <w:color w:val="000000"/>
          <w:sz w:val="22"/>
        </w:rPr>
        <w:drawing>
          <wp:inline>
            <wp:extent cx="1223010" cy="560070"/>
            <wp:effectExtent b="0" l="0" r="0" t="0"/>
            <wp:docPr hidden="false" id="26" name="Picture 26"/>
            <a:graphic>
              <a:graphicData uri="http://schemas.openxmlformats.org/drawingml/2006/picture">
                <pic:pic>
                  <pic:nvPicPr>
                    <pic:cNvPr hidden="false" id="25" name="Picture 25"/>
                    <pic:cNvPicPr preferRelativeResize="true"/>
                  </pic:nvPicPr>
                  <pic:blipFill>
                    <a:blip r:embed="rId15"/>
                    <a:srcRect b="0" l="0" r="0" t="0"/>
                    <a:stretch/>
                  </pic:blipFill>
                  <pic:spPr>
                    <a:xfrm flipH="false" flipV="false" rot="0">
                      <a:ext cx="1223010" cy="56007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</w:rPr>
        <w:t>, где:</w:t>
      </w:r>
    </w:p>
    <w:p w14:paraId="EA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EB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Rгп.ср</w:t>
      </w:r>
      <w:r>
        <w:rPr>
          <w:rFonts w:ascii="Times New Roman" w:hAnsi="Times New Roman"/>
          <w:sz w:val="28"/>
        </w:rPr>
        <w:t xml:space="preserve"> - среднее значение эффективности реализации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программ;</w:t>
      </w:r>
    </w:p>
    <w:p w14:paraId="EC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G - количество муниципальных</w:t>
      </w:r>
      <w:r>
        <w:rPr>
          <w:rFonts w:ascii="Times New Roman" w:hAnsi="Times New Roman"/>
          <w:sz w:val="28"/>
        </w:rPr>
        <w:t xml:space="preserve"> программ.</w:t>
      </w:r>
    </w:p>
    <w:p w14:paraId="ED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</w:p>
    <w:p w14:paraId="EE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</w:p>
    <w:p w14:paraId="EF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</w:p>
    <w:p w14:paraId="F0010000">
      <w:pPr>
        <w:pStyle w:val="Style_2"/>
        <w:widowControl w:val="1"/>
        <w:tabs>
          <w:tab w:leader="none" w:pos="0" w:val="left"/>
        </w:tabs>
        <w:ind/>
        <w:jc w:val="both"/>
        <w:rPr>
          <w:rFonts w:ascii="Times New Roman" w:hAnsi="Times New Roman"/>
          <w:sz w:val="28"/>
        </w:rPr>
      </w:pPr>
    </w:p>
    <w:p w14:paraId="F1010000">
      <w:pPr>
        <w:pStyle w:val="Style_2"/>
        <w:widowControl w:val="1"/>
        <w:ind/>
        <w:jc w:val="both"/>
        <w:rPr>
          <w:rFonts w:ascii="Times New Roman" w:hAnsi="Times New Roman"/>
          <w:sz w:val="36"/>
        </w:rPr>
      </w:pPr>
    </w:p>
    <w:sectPr>
      <w:headerReference r:id="rId1" w:type="default"/>
      <w:headerReference r:id="rId2" w:type="first"/>
      <w:pgSz w:h="16840" w:orient="portrait" w:w="11910"/>
      <w:pgMar w:bottom="1134" w:footer="0" w:gutter="0" w:header="284" w:left="1985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tabs>
        <w:tab w:leader="none" w:pos="4560" w:val="left"/>
        <w:tab w:leader="none" w:pos="4676" w:val="center"/>
        <w:tab w:leader="none" w:pos="4677" w:val="clear"/>
      </w:tabs>
      <w:ind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tab/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2000000">
    <w:pPr>
      <w:pStyle w:val="Style_1"/>
      <w:rPr>
        <w:rFonts w:ascii="Times New Roman" w:hAnsi="Times New Roman"/>
        <w:sz w:val="24"/>
      </w:rPr>
    </w:pPr>
  </w:p>
  <w:p w14:paraId="03000000"/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tabs>
          <w:tab w:leader="none" w:pos="0" w:val="left"/>
        </w:tabs>
        <w:ind w:hanging="661" w:left="3553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pStyle w:val="Style_76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1">
      <w:start w:val="1"/>
      <w:numFmt w:val="decimal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2">
      <w:start w:val="1"/>
      <w:numFmt w:val="decimal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121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68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widowControl w:val="1"/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widowControl w:val="1"/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line="276" w:lineRule="auto"/>
      <w:ind/>
    </w:pPr>
    <w:rPr>
      <w:rFonts w:ascii="Calibri" w:hAnsi="Calibri"/>
      <w:sz w:val="22"/>
    </w:rPr>
  </w:style>
  <w:style w:default="1" w:styleId="Style_5_ch" w:type="character">
    <w:name w:val="Normal"/>
    <w:link w:val="Style_5"/>
    <w:rPr>
      <w:rFonts w:ascii="Calibri" w:hAnsi="Calibri"/>
      <w:sz w:val="22"/>
    </w:rPr>
  </w:style>
  <w:style w:styleId="Style_6" w:type="paragraph">
    <w:name w:val="toc 2"/>
    <w:basedOn w:val="Style_5"/>
    <w:next w:val="Style_5"/>
    <w:link w:val="Style_6_ch"/>
    <w:uiPriority w:val="39"/>
    <w:pPr>
      <w:widowControl w:val="1"/>
      <w:spacing w:after="57"/>
      <w:ind w:left="283"/>
    </w:pPr>
  </w:style>
  <w:style w:styleId="Style_6_ch" w:type="character">
    <w:name w:val="toc 2"/>
    <w:basedOn w:val="Style_5_ch"/>
    <w:link w:val="Style_6"/>
  </w:style>
  <w:style w:styleId="Style_7" w:type="paragraph">
    <w:name w:val="WW8Num43z0"/>
    <w:link w:val="Style_7_ch"/>
    <w:rPr>
      <w:sz w:val="28"/>
    </w:rPr>
  </w:style>
  <w:style w:styleId="Style_7_ch" w:type="character">
    <w:name w:val="WW8Num43z0"/>
    <w:link w:val="Style_7"/>
    <w:rPr>
      <w:sz w:val="28"/>
    </w:rPr>
  </w:style>
  <w:style w:styleId="Style_8" w:type="paragraph">
    <w:name w:val="toc 4"/>
    <w:basedOn w:val="Style_5"/>
    <w:next w:val="Style_5"/>
    <w:link w:val="Style_8_ch"/>
    <w:uiPriority w:val="39"/>
    <w:pPr>
      <w:widowControl w:val="1"/>
      <w:spacing w:after="57"/>
      <w:ind w:left="850"/>
    </w:pPr>
  </w:style>
  <w:style w:styleId="Style_8_ch" w:type="character">
    <w:name w:val="toc 4"/>
    <w:basedOn w:val="Style_5_ch"/>
    <w:link w:val="Style_8"/>
  </w:style>
  <w:style w:styleId="Style_9" w:type="paragraph">
    <w:name w:val="footnote text"/>
    <w:basedOn w:val="Style_5"/>
    <w:link w:val="Style_9_ch"/>
    <w:pPr>
      <w:widowControl w:val="1"/>
      <w:spacing w:after="0" w:line="240" w:lineRule="auto"/>
      <w:ind/>
    </w:pPr>
    <w:rPr>
      <w:rFonts w:ascii="Times New Roman" w:hAnsi="Times New Roman"/>
      <w:color w:val="000000"/>
      <w:sz w:val="20"/>
    </w:rPr>
  </w:style>
  <w:style w:styleId="Style_9_ch" w:type="character">
    <w:name w:val="footnote text"/>
    <w:basedOn w:val="Style_5_ch"/>
    <w:link w:val="Style_9"/>
    <w:rPr>
      <w:rFonts w:ascii="Times New Roman" w:hAnsi="Times New Roman"/>
      <w:color w:val="000000"/>
      <w:sz w:val="20"/>
    </w:rPr>
  </w:style>
  <w:style w:styleId="Style_10" w:type="paragraph">
    <w:name w:val="Heading"/>
    <w:basedOn w:val="Style_5"/>
    <w:next w:val="Style_5"/>
    <w:link w:val="Style_10_ch"/>
    <w:pPr>
      <w:widowControl w:val="0"/>
      <w:spacing w:after="0" w:line="240" w:lineRule="auto"/>
      <w:ind w:left="1682" w:right="1721"/>
      <w:jc w:val="center"/>
    </w:pPr>
    <w:rPr>
      <w:rFonts w:ascii="Times New Roman" w:hAnsi="Times New Roman"/>
    </w:rPr>
  </w:style>
  <w:style w:styleId="Style_10_ch" w:type="character">
    <w:name w:val="Heading"/>
    <w:basedOn w:val="Style_5_ch"/>
    <w:link w:val="Style_10"/>
    <w:rPr>
      <w:rFonts w:ascii="Times New Roman" w:hAnsi="Times New Roman"/>
    </w:rPr>
  </w:style>
  <w:style w:styleId="Style_11" w:type="paragraph">
    <w:name w:val="Footnote Characters"/>
    <w:link w:val="Style_11_ch"/>
    <w:rPr>
      <w:vertAlign w:val="superscript"/>
    </w:rPr>
  </w:style>
  <w:style w:styleId="Style_11_ch" w:type="character">
    <w:name w:val="Footnote Characters"/>
    <w:link w:val="Style_11"/>
    <w:rPr>
      <w:vertAlign w:val="superscript"/>
    </w:rPr>
  </w:style>
  <w:style w:styleId="Style_12" w:type="paragraph">
    <w:name w:val="heading 7"/>
    <w:basedOn w:val="Style_5"/>
    <w:next w:val="Style_5"/>
    <w:link w:val="Style_12_ch"/>
    <w:uiPriority w:val="9"/>
    <w:qFormat/>
    <w:pPr>
      <w:keepNext w:val="1"/>
      <w:keepLines w:val="1"/>
      <w:widowControl w:val="1"/>
      <w:spacing w:before="320"/>
      <w:ind/>
      <w:outlineLvl w:val="6"/>
    </w:pPr>
    <w:rPr>
      <w:rFonts w:ascii="Arial" w:hAnsi="Arial"/>
      <w:b w:val="1"/>
      <w:i w:val="1"/>
    </w:rPr>
  </w:style>
  <w:style w:styleId="Style_12_ch" w:type="character">
    <w:name w:val="heading 7"/>
    <w:basedOn w:val="Style_5_ch"/>
    <w:link w:val="Style_12"/>
    <w:rPr>
      <w:rFonts w:ascii="Arial" w:hAnsi="Arial"/>
      <w:b w:val="1"/>
      <w:i w:val="1"/>
    </w:rPr>
  </w:style>
  <w:style w:styleId="Style_13" w:type="paragraph">
    <w:name w:val="WW8Num23z0"/>
    <w:link w:val="Style_13_ch"/>
    <w:rPr>
      <w:vertAlign w:val="superscript"/>
    </w:rPr>
  </w:style>
  <w:style w:styleId="Style_13_ch" w:type="character">
    <w:name w:val="WW8Num23z0"/>
    <w:link w:val="Style_13"/>
    <w:rPr>
      <w:vertAlign w:val="superscript"/>
    </w:rPr>
  </w:style>
  <w:style w:styleId="Style_14" w:type="paragraph">
    <w:name w:val="Balloon Text"/>
    <w:basedOn w:val="Style_5"/>
    <w:link w:val="Style_14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5_ch"/>
    <w:link w:val="Style_14"/>
    <w:rPr>
      <w:rFonts w:ascii="Tahoma" w:hAnsi="Tahoma"/>
      <w:sz w:val="16"/>
    </w:rPr>
  </w:style>
  <w:style w:styleId="Style_15" w:type="paragraph">
    <w:name w:val="WW8Num45z0"/>
    <w:link w:val="Style_15_ch"/>
  </w:style>
  <w:style w:styleId="Style_15_ch" w:type="character">
    <w:name w:val="WW8Num45z0"/>
    <w:link w:val="Style_15"/>
  </w:style>
  <w:style w:styleId="Style_16" w:type="paragraph">
    <w:name w:val="toc 6"/>
    <w:basedOn w:val="Style_5"/>
    <w:next w:val="Style_5"/>
    <w:link w:val="Style_16_ch"/>
    <w:uiPriority w:val="39"/>
    <w:pPr>
      <w:widowControl w:val="1"/>
      <w:spacing w:after="57"/>
      <w:ind w:left="1417"/>
    </w:pPr>
  </w:style>
  <w:style w:styleId="Style_16_ch" w:type="character">
    <w:name w:val="toc 6"/>
    <w:basedOn w:val="Style_5_ch"/>
    <w:link w:val="Style_16"/>
  </w:style>
  <w:style w:styleId="Style_17" w:type="paragraph">
    <w:name w:val="toc 7"/>
    <w:basedOn w:val="Style_5"/>
    <w:next w:val="Style_5"/>
    <w:link w:val="Style_17_ch"/>
    <w:uiPriority w:val="39"/>
    <w:pPr>
      <w:widowControl w:val="1"/>
      <w:spacing w:after="57"/>
      <w:ind w:left="1701"/>
    </w:pPr>
  </w:style>
  <w:style w:styleId="Style_17_ch" w:type="character">
    <w:name w:val="toc 7"/>
    <w:basedOn w:val="Style_5_ch"/>
    <w:link w:val="Style_17"/>
  </w:style>
  <w:style w:styleId="Style_18" w:type="paragraph">
    <w:name w:val="Заголовок 1 Знак"/>
    <w:link w:val="Style_18_ch"/>
  </w:style>
  <w:style w:styleId="Style_18_ch" w:type="character">
    <w:name w:val="Заголовок 1 Знак"/>
    <w:link w:val="Style_18"/>
  </w:style>
  <w:style w:styleId="Style_19" w:type="paragraph">
    <w:name w:val="WW8Num48z0"/>
    <w:link w:val="Style_19_ch"/>
  </w:style>
  <w:style w:styleId="Style_19_ch" w:type="character">
    <w:name w:val="WW8Num48z0"/>
    <w:link w:val="Style_19"/>
  </w:style>
  <w:style w:styleId="Style_20" w:type="paragraph">
    <w:name w:val="Текст сноски Знак"/>
    <w:link w:val="Style_20_ch"/>
  </w:style>
  <w:style w:styleId="Style_20_ch" w:type="character">
    <w:name w:val="Текст сноски Знак"/>
    <w:link w:val="Style_20"/>
  </w:style>
  <w:style w:styleId="Style_21" w:type="paragraph">
    <w:name w:val="Основной текст Знак"/>
    <w:link w:val="Style_21_ch"/>
  </w:style>
  <w:style w:styleId="Style_21_ch" w:type="character">
    <w:name w:val="Основной текст Знак"/>
    <w:link w:val="Style_21"/>
  </w:style>
  <w:style w:styleId="Style_22" w:type="paragraph">
    <w:name w:val="Название Знак"/>
    <w:link w:val="Style_22_ch"/>
    <w:rPr>
      <w:rFonts w:ascii="Calibri Light" w:hAnsi="Calibri Light"/>
      <w:b w:val="1"/>
      <w:sz w:val="32"/>
    </w:rPr>
  </w:style>
  <w:style w:styleId="Style_22_ch" w:type="character">
    <w:name w:val="Название Знак"/>
    <w:link w:val="Style_22"/>
    <w:rPr>
      <w:rFonts w:ascii="Calibri Light" w:hAnsi="Calibri Light"/>
      <w:b w:val="1"/>
      <w:sz w:val="32"/>
    </w:rPr>
  </w:style>
  <w:style w:styleId="Style_23" w:type="paragraph">
    <w:name w:val="Endnote"/>
    <w:basedOn w:val="Style_5"/>
    <w:link w:val="Style_23_ch"/>
    <w:pPr>
      <w:widowControl w:val="1"/>
      <w:spacing w:after="0" w:line="240" w:lineRule="auto"/>
      <w:ind/>
    </w:pPr>
    <w:rPr>
      <w:rFonts w:ascii="Times New Roman" w:hAnsi="Times New Roman"/>
      <w:sz w:val="20"/>
    </w:rPr>
  </w:style>
  <w:style w:styleId="Style_23_ch" w:type="character">
    <w:name w:val="Endnote"/>
    <w:basedOn w:val="Style_5_ch"/>
    <w:link w:val="Style_23"/>
    <w:rPr>
      <w:rFonts w:ascii="Times New Roman" w:hAnsi="Times New Roman"/>
      <w:sz w:val="20"/>
    </w:rPr>
  </w:style>
  <w:style w:styleId="Style_24" w:type="paragraph">
    <w:name w:val="heading 3"/>
    <w:basedOn w:val="Style_5"/>
    <w:next w:val="Style_5"/>
    <w:link w:val="Style_24_ch"/>
    <w:uiPriority w:val="9"/>
    <w:qFormat/>
    <w:pPr>
      <w:keepNext w:val="1"/>
      <w:keepLines w:val="1"/>
      <w:widowControl w:val="1"/>
      <w:spacing w:before="320"/>
      <w:ind/>
      <w:outlineLvl w:val="2"/>
    </w:pPr>
    <w:rPr>
      <w:rFonts w:ascii="Arial" w:hAnsi="Arial"/>
      <w:sz w:val="30"/>
    </w:rPr>
  </w:style>
  <w:style w:styleId="Style_24_ch" w:type="character">
    <w:name w:val="heading 3"/>
    <w:basedOn w:val="Style_5_ch"/>
    <w:link w:val="Style_24"/>
    <w:rPr>
      <w:rFonts w:ascii="Arial" w:hAnsi="Arial"/>
      <w:sz w:val="30"/>
    </w:rPr>
  </w:style>
  <w:style w:styleId="Style_25" w:type="paragraph">
    <w:name w:val="WW8Num28z0"/>
    <w:link w:val="Style_25_ch"/>
  </w:style>
  <w:style w:styleId="Style_25_ch" w:type="character">
    <w:name w:val="WW8Num28z0"/>
    <w:link w:val="Style_25"/>
  </w:style>
  <w:style w:styleId="Style_26" w:type="paragraph">
    <w:name w:val="ConsPlusTextList"/>
    <w:link w:val="Style_26_ch"/>
    <w:pPr>
      <w:widowControl w:val="0"/>
      <w:ind/>
    </w:pPr>
    <w:rPr>
      <w:rFonts w:ascii="Arial" w:hAnsi="Arial"/>
      <w:sz w:val="20"/>
    </w:rPr>
  </w:style>
  <w:style w:styleId="Style_26_ch" w:type="character">
    <w:name w:val="ConsPlusTextList"/>
    <w:link w:val="Style_26"/>
    <w:rPr>
      <w:rFonts w:ascii="Arial" w:hAnsi="Arial"/>
      <w:sz w:val="20"/>
    </w:rPr>
  </w:style>
  <w:style w:styleId="Style_27" w:type="paragraph">
    <w:name w:val="WW8Num30z0"/>
    <w:link w:val="Style_27_ch"/>
    <w:rPr>
      <w:sz w:val="28"/>
    </w:rPr>
  </w:style>
  <w:style w:styleId="Style_27_ch" w:type="character">
    <w:name w:val="WW8Num30z0"/>
    <w:link w:val="Style_27"/>
    <w:rPr>
      <w:sz w:val="28"/>
    </w:rPr>
  </w:style>
  <w:style w:styleId="Style_28" w:type="paragraph">
    <w:name w:val="Текст концевой сноски Знак"/>
    <w:link w:val="Style_28_ch"/>
  </w:style>
  <w:style w:styleId="Style_28_ch" w:type="character">
    <w:name w:val="Текст концевой сноски Знак"/>
    <w:link w:val="Style_28"/>
  </w:style>
  <w:style w:styleId="Style_29" w:type="paragraph">
    <w:name w:val="Endnote Characters"/>
    <w:link w:val="Style_29_ch"/>
    <w:rPr>
      <w:vertAlign w:val="superscript"/>
    </w:rPr>
  </w:style>
  <w:style w:styleId="Style_29_ch" w:type="character">
    <w:name w:val="Endnote Characters"/>
    <w:link w:val="Style_29"/>
    <w:rPr>
      <w:vertAlign w:val="superscript"/>
    </w:rPr>
  </w:style>
  <w:style w:styleId="Style_30" w:type="paragraph">
    <w:name w:val="caption"/>
    <w:basedOn w:val="Style_5"/>
    <w:link w:val="Style_30_ch"/>
    <w:pPr>
      <w:widowControl w:val="1"/>
      <w:spacing w:after="120" w:before="120"/>
      <w:ind/>
    </w:pPr>
    <w:rPr>
      <w:i w:val="1"/>
      <w:sz w:val="24"/>
    </w:rPr>
  </w:style>
  <w:style w:styleId="Style_30_ch" w:type="character">
    <w:name w:val="caption"/>
    <w:basedOn w:val="Style_5_ch"/>
    <w:link w:val="Style_30"/>
    <w:rPr>
      <w:i w:val="1"/>
      <w:sz w:val="24"/>
    </w:rPr>
  </w:style>
  <w:style w:styleId="Style_1" w:type="paragraph">
    <w:name w:val="header"/>
    <w:basedOn w:val="Style_5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1" w:type="paragraph">
    <w:name w:val="Нижний колонтитул Знак"/>
    <w:link w:val="Style_31_ch"/>
    <w:rPr>
      <w:sz w:val="22"/>
    </w:rPr>
  </w:style>
  <w:style w:styleId="Style_31_ch" w:type="character">
    <w:name w:val="Нижний колонтитул Знак"/>
    <w:link w:val="Style_31"/>
    <w:rPr>
      <w:sz w:val="22"/>
    </w:rPr>
  </w:style>
  <w:style w:styleId="Style_32" w:type="paragraph">
    <w:name w:val="endnote text"/>
    <w:basedOn w:val="Style_5"/>
    <w:link w:val="Style_32_ch"/>
    <w:pPr>
      <w:widowControl w:val="1"/>
      <w:spacing w:after="0" w:line="240" w:lineRule="auto"/>
      <w:ind/>
    </w:pPr>
    <w:rPr>
      <w:rFonts w:ascii="Times New Roman" w:hAnsi="Times New Roman"/>
      <w:color w:val="000000"/>
      <w:sz w:val="20"/>
    </w:rPr>
  </w:style>
  <w:style w:styleId="Style_32_ch" w:type="character">
    <w:name w:val="endnote text"/>
    <w:basedOn w:val="Style_5_ch"/>
    <w:link w:val="Style_32"/>
    <w:rPr>
      <w:rFonts w:ascii="Times New Roman" w:hAnsi="Times New Roman"/>
      <w:color w:val="000000"/>
      <w:sz w:val="20"/>
    </w:rPr>
  </w:style>
  <w:style w:styleId="Style_33" w:type="paragraph">
    <w:name w:val="WW8Num31z0"/>
    <w:link w:val="Style_33_ch"/>
  </w:style>
  <w:style w:styleId="Style_33_ch" w:type="character">
    <w:name w:val="WW8Num31z0"/>
    <w:link w:val="Style_33"/>
  </w:style>
  <w:style w:styleId="Style_34" w:type="paragraph">
    <w:name w:val="WW8Num41z0"/>
    <w:link w:val="Style_34_ch"/>
    <w:rPr>
      <w:sz w:val="28"/>
    </w:rPr>
  </w:style>
  <w:style w:styleId="Style_34_ch" w:type="character">
    <w:name w:val="WW8Num41z0"/>
    <w:link w:val="Style_34"/>
    <w:rPr>
      <w:sz w:val="28"/>
    </w:rPr>
  </w:style>
  <w:style w:styleId="Style_35" w:type="paragraph">
    <w:name w:val="Intense Quote"/>
    <w:basedOn w:val="Style_5"/>
    <w:next w:val="Style_5"/>
    <w:link w:val="Style_35_ch"/>
    <w:pPr>
      <w:widowControl w:val="1"/>
      <w:ind w:left="720" w:right="720"/>
    </w:pPr>
    <w:rPr>
      <w:i w:val="1"/>
    </w:rPr>
  </w:style>
  <w:style w:styleId="Style_35_ch" w:type="character">
    <w:name w:val="Intense Quote"/>
    <w:basedOn w:val="Style_5_ch"/>
    <w:link w:val="Style_35"/>
    <w:rPr>
      <w:i w:val="1"/>
    </w:rPr>
  </w:style>
  <w:style w:styleId="Style_36" w:type="paragraph">
    <w:name w:val="heading 9"/>
    <w:basedOn w:val="Style_5"/>
    <w:next w:val="Style_5"/>
    <w:link w:val="Style_36_ch"/>
    <w:uiPriority w:val="9"/>
    <w:qFormat/>
    <w:pPr>
      <w:keepNext w:val="1"/>
      <w:keepLines w:val="1"/>
      <w:widowControl w:val="1"/>
      <w:spacing w:before="320"/>
      <w:ind/>
      <w:outlineLvl w:val="8"/>
    </w:pPr>
    <w:rPr>
      <w:rFonts w:ascii="Arial" w:hAnsi="Arial"/>
      <w:i w:val="1"/>
      <w:sz w:val="21"/>
    </w:rPr>
  </w:style>
  <w:style w:styleId="Style_36_ch" w:type="character">
    <w:name w:val="heading 9"/>
    <w:basedOn w:val="Style_5_ch"/>
    <w:link w:val="Style_36"/>
    <w:rPr>
      <w:rFonts w:ascii="Arial" w:hAnsi="Arial"/>
      <w:i w:val="1"/>
      <w:sz w:val="21"/>
    </w:rPr>
  </w:style>
  <w:style w:styleId="Style_37" w:type="paragraph">
    <w:name w:val="ConsPlusNonformat"/>
    <w:link w:val="Style_37_ch"/>
    <w:pPr>
      <w:widowControl w:val="0"/>
      <w:ind/>
    </w:pPr>
    <w:rPr>
      <w:rFonts w:ascii="Courier New" w:hAnsi="Courier New"/>
      <w:sz w:val="20"/>
    </w:rPr>
  </w:style>
  <w:style w:styleId="Style_37_ch" w:type="character">
    <w:name w:val="ConsPlusNonformat"/>
    <w:link w:val="Style_37"/>
    <w:rPr>
      <w:rFonts w:ascii="Courier New" w:hAnsi="Courier New"/>
      <w:sz w:val="20"/>
    </w:rPr>
  </w:style>
  <w:style w:styleId="Style_38" w:type="paragraph">
    <w:name w:val="footer"/>
    <w:basedOn w:val="Style_5"/>
    <w:link w:val="Style_38_ch"/>
    <w:pPr>
      <w:widowControl w:val="1"/>
      <w:tabs>
        <w:tab w:leader="none" w:pos="4677" w:val="center"/>
        <w:tab w:leader="none" w:pos="9355" w:val="right"/>
      </w:tabs>
      <w:ind/>
    </w:pPr>
  </w:style>
  <w:style w:styleId="Style_38_ch" w:type="character">
    <w:name w:val="footer"/>
    <w:basedOn w:val="Style_5_ch"/>
    <w:link w:val="Style_38"/>
  </w:style>
  <w:style w:styleId="Style_39" w:type="paragraph">
    <w:name w:val="WW8Num36z0"/>
    <w:link w:val="Style_39_ch"/>
  </w:style>
  <w:style w:styleId="Style_39_ch" w:type="character">
    <w:name w:val="WW8Num36z0"/>
    <w:link w:val="Style_39"/>
  </w:style>
  <w:style w:styleId="Style_40" w:type="paragraph">
    <w:name w:val="WW8Num18z0"/>
    <w:link w:val="Style_40_ch"/>
    <w:rPr>
      <w:rFonts w:ascii="Symbol" w:hAnsi="Symbol"/>
    </w:rPr>
  </w:style>
  <w:style w:styleId="Style_40_ch" w:type="character">
    <w:name w:val="WW8Num18z0"/>
    <w:link w:val="Style_40"/>
    <w:rPr>
      <w:rFonts w:ascii="Symbol" w:hAnsi="Symbol"/>
    </w:rPr>
  </w:style>
  <w:style w:styleId="Style_41" w:type="paragraph">
    <w:name w:val="WW8Num34z0"/>
    <w:link w:val="Style_41_ch"/>
    <w:rPr>
      <w:sz w:val="28"/>
    </w:rPr>
  </w:style>
  <w:style w:styleId="Style_41_ch" w:type="character">
    <w:name w:val="WW8Num34z0"/>
    <w:link w:val="Style_41"/>
    <w:rPr>
      <w:sz w:val="28"/>
    </w:rPr>
  </w:style>
  <w:style w:styleId="Style_42" w:type="paragraph">
    <w:name w:val="WW8Num31z1"/>
    <w:link w:val="Style_42_ch"/>
  </w:style>
  <w:style w:styleId="Style_42_ch" w:type="character">
    <w:name w:val="WW8Num31z1"/>
    <w:link w:val="Style_42"/>
  </w:style>
  <w:style w:styleId="Style_43" w:type="paragraph">
    <w:name w:val="WW8Num15z0"/>
    <w:link w:val="Style_43_ch"/>
  </w:style>
  <w:style w:styleId="Style_43_ch" w:type="character">
    <w:name w:val="WW8Num15z0"/>
    <w:link w:val="Style_43"/>
  </w:style>
  <w:style w:styleId="Style_44" w:type="paragraph">
    <w:name w:val="WW8Num9z0"/>
    <w:link w:val="Style_44_ch"/>
  </w:style>
  <w:style w:styleId="Style_44_ch" w:type="character">
    <w:name w:val="WW8Num9z0"/>
    <w:link w:val="Style_44"/>
  </w:style>
  <w:style w:styleId="Style_45" w:type="paragraph">
    <w:name w:val="WW8Num3z1"/>
    <w:link w:val="Style_45_ch"/>
    <w:rPr>
      <w:sz w:val="22"/>
    </w:rPr>
  </w:style>
  <w:style w:styleId="Style_45_ch" w:type="character">
    <w:name w:val="WW8Num3z1"/>
    <w:link w:val="Style_45"/>
    <w:rPr>
      <w:sz w:val="22"/>
    </w:rPr>
  </w:style>
  <w:style w:styleId="Style_46" w:type="paragraph">
    <w:name w:val="WW8Num5z0"/>
    <w:link w:val="Style_46_ch"/>
    <w:rPr>
      <w:sz w:val="28"/>
    </w:rPr>
  </w:style>
  <w:style w:styleId="Style_46_ch" w:type="character">
    <w:name w:val="WW8Num5z0"/>
    <w:link w:val="Style_46"/>
    <w:rPr>
      <w:sz w:val="28"/>
    </w:rPr>
  </w:style>
  <w:style w:styleId="Style_47" w:type="paragraph">
    <w:name w:val="WW8Num46z0"/>
    <w:link w:val="Style_47_ch"/>
  </w:style>
  <w:style w:styleId="Style_47_ch" w:type="character">
    <w:name w:val="WW8Num46z0"/>
    <w:link w:val="Style_47"/>
  </w:style>
  <w:style w:styleId="Style_48" w:type="paragraph">
    <w:name w:val="WW8Num38z0"/>
    <w:link w:val="Style_48_ch"/>
  </w:style>
  <w:style w:styleId="Style_48_ch" w:type="character">
    <w:name w:val="WW8Num38z0"/>
    <w:link w:val="Style_48"/>
  </w:style>
  <w:style w:styleId="Style_49" w:type="paragraph">
    <w:name w:val="Table Contents"/>
    <w:basedOn w:val="Style_5"/>
    <w:link w:val="Style_49_ch"/>
    <w:pPr>
      <w:widowControl w:val="0"/>
      <w:ind/>
    </w:pPr>
  </w:style>
  <w:style w:styleId="Style_49_ch" w:type="character">
    <w:name w:val="Table Contents"/>
    <w:basedOn w:val="Style_5_ch"/>
    <w:link w:val="Style_49"/>
  </w:style>
  <w:style w:styleId="Style_50" w:type="paragraph">
    <w:name w:val="Знак сноски1"/>
    <w:link w:val="Style_50_ch"/>
    <w:rPr>
      <w:vertAlign w:val="superscript"/>
    </w:rPr>
  </w:style>
  <w:style w:styleId="Style_50_ch" w:type="character">
    <w:name w:val="Знак сноски1"/>
    <w:link w:val="Style_50"/>
    <w:rPr>
      <w:vertAlign w:val="superscript"/>
    </w:rPr>
  </w:style>
  <w:style w:styleId="Style_51" w:type="paragraph">
    <w:name w:val="Основной шрифт абзаца1"/>
    <w:link w:val="Style_51_ch"/>
  </w:style>
  <w:style w:styleId="Style_51_ch" w:type="character">
    <w:name w:val="Основной шрифт абзаца1"/>
    <w:link w:val="Style_51"/>
  </w:style>
  <w:style w:styleId="Style_52" w:type="paragraph">
    <w:name w:val="WW8Num2z0"/>
    <w:link w:val="Style_52_ch"/>
  </w:style>
  <w:style w:styleId="Style_52_ch" w:type="character">
    <w:name w:val="WW8Num2z0"/>
    <w:link w:val="Style_52"/>
  </w:style>
  <w:style w:styleId="Style_53" w:type="paragraph">
    <w:name w:val="Index"/>
    <w:basedOn w:val="Style_5"/>
    <w:link w:val="Style_53_ch"/>
  </w:style>
  <w:style w:styleId="Style_53_ch" w:type="character">
    <w:name w:val="Index"/>
    <w:basedOn w:val="Style_5_ch"/>
    <w:link w:val="Style_53"/>
  </w:style>
  <w:style w:styleId="Style_54" w:type="paragraph">
    <w:name w:val="WW8Num44z0"/>
    <w:link w:val="Style_54_ch"/>
    <w:rPr>
      <w:sz w:val="22"/>
    </w:rPr>
  </w:style>
  <w:style w:styleId="Style_54_ch" w:type="character">
    <w:name w:val="WW8Num44z0"/>
    <w:link w:val="Style_54"/>
    <w:rPr>
      <w:sz w:val="22"/>
    </w:rPr>
  </w:style>
  <w:style w:styleId="Style_55" w:type="paragraph">
    <w:name w:val="WW8Num3z0"/>
    <w:link w:val="Style_55_ch"/>
  </w:style>
  <w:style w:styleId="Style_55_ch" w:type="character">
    <w:name w:val="WW8Num3z0"/>
    <w:link w:val="Style_55"/>
  </w:style>
  <w:style w:styleId="Style_56" w:type="paragraph">
    <w:name w:val="WW8Num11z1"/>
    <w:link w:val="Style_56_ch"/>
  </w:style>
  <w:style w:styleId="Style_56_ch" w:type="character">
    <w:name w:val="WW8Num11z1"/>
    <w:link w:val="Style_56"/>
  </w:style>
  <w:style w:styleId="Style_57" w:type="paragraph">
    <w:name w:val="toc 3"/>
    <w:basedOn w:val="Style_5"/>
    <w:next w:val="Style_5"/>
    <w:link w:val="Style_57_ch"/>
    <w:uiPriority w:val="39"/>
    <w:pPr>
      <w:widowControl w:val="1"/>
      <w:spacing w:after="57"/>
      <w:ind w:left="567"/>
    </w:pPr>
  </w:style>
  <w:style w:styleId="Style_57_ch" w:type="character">
    <w:name w:val="toc 3"/>
    <w:basedOn w:val="Style_5_ch"/>
    <w:link w:val="Style_57"/>
  </w:style>
  <w:style w:styleId="Style_58" w:type="paragraph">
    <w:name w:val="Гиперссылка1"/>
    <w:link w:val="Style_58_ch"/>
    <w:rPr>
      <w:color w:val="0563C1"/>
      <w:u w:val="single"/>
    </w:rPr>
  </w:style>
  <w:style w:styleId="Style_58_ch" w:type="character">
    <w:name w:val="Гиперссылка1"/>
    <w:link w:val="Style_58"/>
    <w:rPr>
      <w:color w:val="0563C1"/>
      <w:u w:val="single"/>
    </w:rPr>
  </w:style>
  <w:style w:styleId="Style_59" w:type="paragraph">
    <w:name w:val="table of figures"/>
    <w:basedOn w:val="Style_5"/>
    <w:next w:val="Style_5"/>
    <w:link w:val="Style_59_ch"/>
    <w:pPr>
      <w:widowControl w:val="1"/>
      <w:spacing w:after="0"/>
      <w:ind/>
    </w:pPr>
  </w:style>
  <w:style w:styleId="Style_59_ch" w:type="character">
    <w:name w:val="table of figures"/>
    <w:basedOn w:val="Style_5_ch"/>
    <w:link w:val="Style_59"/>
  </w:style>
  <w:style w:styleId="Style_60" w:type="paragraph">
    <w:name w:val="ConsPlusJurTerm"/>
    <w:link w:val="Style_60_ch"/>
    <w:rPr>
      <w:rFonts w:ascii="Tahoma" w:hAnsi="Tahoma"/>
      <w:sz w:val="26"/>
    </w:rPr>
  </w:style>
  <w:style w:styleId="Style_60_ch" w:type="character">
    <w:name w:val="ConsPlusJurTerm"/>
    <w:link w:val="Style_60"/>
    <w:rPr>
      <w:rFonts w:ascii="Tahoma" w:hAnsi="Tahoma"/>
      <w:sz w:val="26"/>
    </w:rPr>
  </w:style>
  <w:style w:styleId="Style_61" w:type="paragraph">
    <w:name w:val="WW8Num22z0"/>
    <w:link w:val="Style_61_ch"/>
  </w:style>
  <w:style w:styleId="Style_61_ch" w:type="character">
    <w:name w:val="WW8Num22z0"/>
    <w:link w:val="Style_61"/>
  </w:style>
  <w:style w:styleId="Style_62" w:type="paragraph">
    <w:name w:val="WW8Num29z0"/>
    <w:link w:val="Style_62_ch"/>
  </w:style>
  <w:style w:styleId="Style_62_ch" w:type="character">
    <w:name w:val="WW8Num29z0"/>
    <w:link w:val="Style_62"/>
  </w:style>
  <w:style w:styleId="Style_63" w:type="paragraph">
    <w:name w:val="Iau?iue"/>
    <w:link w:val="Style_63_ch"/>
    <w:rPr>
      <w:sz w:val="20"/>
    </w:rPr>
  </w:style>
  <w:style w:styleId="Style_63_ch" w:type="character">
    <w:name w:val="Iau?iue"/>
    <w:link w:val="Style_63"/>
    <w:rPr>
      <w:sz w:val="20"/>
    </w:rPr>
  </w:style>
  <w:style w:styleId="Style_64" w:type="paragraph">
    <w:name w:val="No Spacing"/>
    <w:link w:val="Style_64_ch"/>
  </w:style>
  <w:style w:styleId="Style_64_ch" w:type="character">
    <w:name w:val="No Spacing"/>
    <w:link w:val="Style_64"/>
  </w:style>
  <w:style w:styleId="Style_65" w:type="paragraph">
    <w:name w:val="WW8Num42z0"/>
    <w:link w:val="Style_65_ch"/>
  </w:style>
  <w:style w:styleId="Style_65_ch" w:type="character">
    <w:name w:val="WW8Num42z0"/>
    <w:link w:val="Style_65"/>
  </w:style>
  <w:style w:styleId="Style_66" w:type="paragraph">
    <w:name w:val="Table Paragraph"/>
    <w:basedOn w:val="Style_5"/>
    <w:link w:val="Style_66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66_ch" w:type="character">
    <w:name w:val="Table Paragraph"/>
    <w:basedOn w:val="Style_5_ch"/>
    <w:link w:val="Style_66"/>
    <w:rPr>
      <w:rFonts w:ascii="Times New Roman" w:hAnsi="Times New Roman"/>
      <w:sz w:val="24"/>
    </w:rPr>
  </w:style>
  <w:style w:styleId="Style_2" w:type="paragraph">
    <w:name w:val="ConsPlusNormal"/>
    <w:link w:val="Style_2_ch"/>
    <w:pPr>
      <w:widowControl w:val="0"/>
      <w:ind w:firstLine="720"/>
    </w:pPr>
    <w:rPr>
      <w:rFonts w:ascii="Arial" w:hAnsi="Arial"/>
      <w:sz w:val="20"/>
    </w:rPr>
  </w:style>
  <w:style w:styleId="Style_2_ch" w:type="character">
    <w:name w:val="ConsPlusNormal"/>
    <w:link w:val="Style_2"/>
    <w:rPr>
      <w:rFonts w:ascii="Arial" w:hAnsi="Arial"/>
      <w:sz w:val="20"/>
    </w:rPr>
  </w:style>
  <w:style w:styleId="Style_67" w:type="paragraph">
    <w:name w:val="Знак концевой сноски1"/>
    <w:link w:val="Style_67_ch"/>
    <w:rPr>
      <w:vertAlign w:val="superscript"/>
    </w:rPr>
  </w:style>
  <w:style w:styleId="Style_67_ch" w:type="character">
    <w:name w:val="Знак концевой сноски1"/>
    <w:link w:val="Style_67"/>
    <w:rPr>
      <w:vertAlign w:val="superscript"/>
    </w:rPr>
  </w:style>
  <w:style w:styleId="Style_68" w:type="paragraph">
    <w:name w:val="heading 5"/>
    <w:basedOn w:val="Style_5"/>
    <w:next w:val="Style_5"/>
    <w:link w:val="Style_68_ch"/>
    <w:uiPriority w:val="9"/>
    <w:qFormat/>
    <w:pPr>
      <w:keepNext w:val="1"/>
      <w:widowControl w:val="1"/>
      <w:numPr>
        <w:ilvl w:val="4"/>
        <w:numId w:val="2"/>
      </w:numPr>
      <w:spacing w:after="0" w:before="120" w:line="240" w:lineRule="auto"/>
      <w:ind/>
      <w:jc w:val="center"/>
      <w:outlineLvl w:val="4"/>
    </w:pPr>
    <w:rPr>
      <w:rFonts w:ascii="Times New Roman" w:hAnsi="Times New Roman"/>
      <w:b w:val="1"/>
      <w:sz w:val="28"/>
    </w:rPr>
  </w:style>
  <w:style w:styleId="Style_68_ch" w:type="character">
    <w:name w:val="heading 5"/>
    <w:basedOn w:val="Style_5_ch"/>
    <w:link w:val="Style_68"/>
    <w:rPr>
      <w:rFonts w:ascii="Times New Roman" w:hAnsi="Times New Roman"/>
      <w:b w:val="1"/>
      <w:sz w:val="28"/>
    </w:rPr>
  </w:style>
  <w:style w:styleId="Style_69" w:type="paragraph">
    <w:name w:val="WW8Num46z1"/>
    <w:link w:val="Style_69_ch"/>
  </w:style>
  <w:style w:styleId="Style_69_ch" w:type="character">
    <w:name w:val="WW8Num46z1"/>
    <w:link w:val="Style_69"/>
  </w:style>
  <w:style w:styleId="Style_70" w:type="paragraph">
    <w:name w:val="WW8Num14z0"/>
    <w:link w:val="Style_70_ch"/>
  </w:style>
  <w:style w:styleId="Style_70_ch" w:type="character">
    <w:name w:val="WW8Num14z0"/>
    <w:link w:val="Style_70"/>
  </w:style>
  <w:style w:styleId="Style_71" w:type="paragraph">
    <w:name w:val="WW8Num17z0"/>
    <w:link w:val="Style_71_ch"/>
    <w:rPr>
      <w:vertAlign w:val="superscript"/>
    </w:rPr>
  </w:style>
  <w:style w:styleId="Style_71_ch" w:type="character">
    <w:name w:val="WW8Num17z0"/>
    <w:link w:val="Style_71"/>
    <w:rPr>
      <w:vertAlign w:val="superscript"/>
    </w:rPr>
  </w:style>
  <w:style w:styleId="Style_72" w:type="paragraph">
    <w:name w:val="WW8Num1z0"/>
    <w:link w:val="Style_72_ch"/>
    <w:rPr>
      <w:sz w:val="28"/>
    </w:rPr>
  </w:style>
  <w:style w:styleId="Style_72_ch" w:type="character">
    <w:name w:val="WW8Num1z0"/>
    <w:link w:val="Style_72"/>
    <w:rPr>
      <w:sz w:val="28"/>
    </w:rPr>
  </w:style>
  <w:style w:styleId="Style_73" w:type="paragraph">
    <w:name w:val="Footer Char"/>
    <w:link w:val="Style_73_ch"/>
  </w:style>
  <w:style w:styleId="Style_73_ch" w:type="character">
    <w:name w:val="Footer Char"/>
    <w:link w:val="Style_73"/>
  </w:style>
  <w:style w:styleId="Style_74" w:type="paragraph">
    <w:name w:val="WW8Num21z0"/>
    <w:link w:val="Style_74_ch"/>
    <w:rPr>
      <w:sz w:val="28"/>
    </w:rPr>
  </w:style>
  <w:style w:styleId="Style_74_ch" w:type="character">
    <w:name w:val="WW8Num21z0"/>
    <w:link w:val="Style_74"/>
    <w:rPr>
      <w:sz w:val="28"/>
    </w:rPr>
  </w:style>
  <w:style w:styleId="Style_75" w:type="paragraph">
    <w:name w:val="ConsPlusTitlePage"/>
    <w:link w:val="Style_75_ch"/>
    <w:rPr>
      <w:rFonts w:ascii="Tahoma" w:hAnsi="Tahoma"/>
      <w:sz w:val="28"/>
    </w:rPr>
  </w:style>
  <w:style w:styleId="Style_75_ch" w:type="character">
    <w:name w:val="ConsPlusTitlePage"/>
    <w:link w:val="Style_75"/>
    <w:rPr>
      <w:rFonts w:ascii="Tahoma" w:hAnsi="Tahoma"/>
      <w:sz w:val="28"/>
    </w:rPr>
  </w:style>
  <w:style w:styleId="Style_76" w:type="paragraph">
    <w:name w:val="heading 1"/>
    <w:basedOn w:val="Style_5"/>
    <w:next w:val="Style_5"/>
    <w:link w:val="Style_76_ch"/>
    <w:uiPriority w:val="9"/>
    <w:qFormat/>
    <w:pPr>
      <w:widowControl w:val="0"/>
      <w:numPr>
        <w:numId w:val="2"/>
      </w:numPr>
      <w:spacing w:after="0" w:before="1" w:line="240" w:lineRule="auto"/>
      <w:ind/>
      <w:jc w:val="right"/>
      <w:outlineLvl w:val="0"/>
    </w:pPr>
    <w:rPr>
      <w:rFonts w:ascii="Times New Roman" w:hAnsi="Times New Roman"/>
      <w:sz w:val="20"/>
    </w:rPr>
  </w:style>
  <w:style w:styleId="Style_76_ch" w:type="character">
    <w:name w:val="heading 1"/>
    <w:basedOn w:val="Style_5_ch"/>
    <w:link w:val="Style_76"/>
    <w:rPr>
      <w:rFonts w:ascii="Times New Roman" w:hAnsi="Times New Roman"/>
      <w:sz w:val="20"/>
    </w:rPr>
  </w:style>
  <w:style w:styleId="Style_77" w:type="paragraph">
    <w:name w:val="WW8Num26z0"/>
    <w:link w:val="Style_77_ch"/>
  </w:style>
  <w:style w:styleId="Style_77_ch" w:type="character">
    <w:name w:val="WW8Num26z0"/>
    <w:link w:val="Style_77"/>
  </w:style>
  <w:style w:styleId="Style_78" w:type="paragraph">
    <w:name w:val="Заголовок 4 Знак"/>
    <w:link w:val="Style_78_ch"/>
    <w:rPr>
      <w:b w:val="1"/>
      <w:sz w:val="36"/>
    </w:rPr>
  </w:style>
  <w:style w:styleId="Style_78_ch" w:type="character">
    <w:name w:val="Заголовок 4 Знак"/>
    <w:link w:val="Style_78"/>
    <w:rPr>
      <w:b w:val="1"/>
      <w:sz w:val="36"/>
    </w:rPr>
  </w:style>
  <w:style w:styleId="Style_79" w:type="paragraph">
    <w:name w:val="WW8Num13z0"/>
    <w:link w:val="Style_79_ch"/>
  </w:style>
  <w:style w:styleId="Style_79_ch" w:type="character">
    <w:name w:val="WW8Num13z0"/>
    <w:link w:val="Style_79"/>
  </w:style>
  <w:style w:styleId="Style_80" w:type="paragraph">
    <w:name w:val="Текст сноски Знак1"/>
    <w:basedOn w:val="Style_81"/>
    <w:link w:val="Style_80_ch"/>
    <w:rPr>
      <w:rFonts w:ascii="Calibri" w:hAnsi="Calibri"/>
      <w:sz w:val="20"/>
    </w:rPr>
  </w:style>
  <w:style w:styleId="Style_80_ch" w:type="character">
    <w:name w:val="Текст сноски Знак1"/>
    <w:basedOn w:val="Style_81_ch"/>
    <w:link w:val="Style_80"/>
    <w:rPr>
      <w:rFonts w:ascii="Calibri" w:hAnsi="Calibri"/>
      <w:sz w:val="20"/>
    </w:rPr>
  </w:style>
  <w:style w:styleId="Style_82" w:type="paragraph">
    <w:name w:val="Hyperlink"/>
    <w:link w:val="Style_82_ch"/>
    <w:rPr>
      <w:color w:val="0000FF"/>
      <w:u w:val="single"/>
    </w:rPr>
  </w:style>
  <w:style w:styleId="Style_82_ch" w:type="character">
    <w:name w:val="Hyperlink"/>
    <w:link w:val="Style_82"/>
    <w:rPr>
      <w:color w:val="0000FF"/>
      <w:u w:val="single"/>
    </w:rPr>
  </w:style>
  <w:style w:styleId="Style_83" w:type="paragraph">
    <w:name w:val="Footnote"/>
    <w:basedOn w:val="Style_5"/>
    <w:link w:val="Style_83_ch"/>
    <w:pPr>
      <w:widowControl w:val="1"/>
      <w:spacing w:after="0" w:line="240" w:lineRule="auto"/>
      <w:ind/>
    </w:pPr>
    <w:rPr>
      <w:rFonts w:ascii="Times New Roman" w:hAnsi="Times New Roman"/>
      <w:sz w:val="20"/>
    </w:rPr>
  </w:style>
  <w:style w:styleId="Style_83_ch" w:type="character">
    <w:name w:val="Footnote"/>
    <w:basedOn w:val="Style_5_ch"/>
    <w:link w:val="Style_83"/>
    <w:rPr>
      <w:rFonts w:ascii="Times New Roman" w:hAnsi="Times New Roman"/>
      <w:sz w:val="20"/>
    </w:rPr>
  </w:style>
  <w:style w:styleId="Style_84" w:type="paragraph">
    <w:name w:val="ConsPlusCell"/>
    <w:link w:val="Style_84_ch"/>
    <w:rPr>
      <w:rFonts w:ascii="Courier New" w:hAnsi="Courier New"/>
      <w:sz w:val="20"/>
    </w:rPr>
  </w:style>
  <w:style w:styleId="Style_84_ch" w:type="character">
    <w:name w:val="ConsPlusCell"/>
    <w:link w:val="Style_84"/>
    <w:rPr>
      <w:rFonts w:ascii="Courier New" w:hAnsi="Courier New"/>
      <w:sz w:val="20"/>
    </w:rPr>
  </w:style>
  <w:style w:styleId="Style_85" w:type="paragraph">
    <w:name w:val="heading 8"/>
    <w:basedOn w:val="Style_5"/>
    <w:next w:val="Style_5"/>
    <w:link w:val="Style_85_ch"/>
    <w:uiPriority w:val="9"/>
    <w:qFormat/>
    <w:pPr>
      <w:keepNext w:val="1"/>
      <w:keepLines w:val="1"/>
      <w:widowControl w:val="1"/>
      <w:spacing w:before="320"/>
      <w:ind/>
      <w:outlineLvl w:val="7"/>
    </w:pPr>
    <w:rPr>
      <w:rFonts w:ascii="Arial" w:hAnsi="Arial"/>
      <w:i w:val="1"/>
    </w:rPr>
  </w:style>
  <w:style w:styleId="Style_85_ch" w:type="character">
    <w:name w:val="heading 8"/>
    <w:basedOn w:val="Style_5_ch"/>
    <w:link w:val="Style_85"/>
    <w:rPr>
      <w:rFonts w:ascii="Arial" w:hAnsi="Arial"/>
      <w:i w:val="1"/>
    </w:rPr>
  </w:style>
  <w:style w:styleId="Style_86" w:type="paragraph">
    <w:name w:val="toc 1"/>
    <w:basedOn w:val="Style_5"/>
    <w:next w:val="Style_5"/>
    <w:link w:val="Style_86_ch"/>
    <w:uiPriority w:val="39"/>
    <w:pPr>
      <w:widowControl w:val="1"/>
      <w:spacing w:after="57"/>
      <w:ind/>
    </w:pPr>
  </w:style>
  <w:style w:styleId="Style_86_ch" w:type="character">
    <w:name w:val="toc 1"/>
    <w:basedOn w:val="Style_5_ch"/>
    <w:link w:val="Style_86"/>
  </w:style>
  <w:style w:styleId="Style_87" w:type="paragraph">
    <w:name w:val="Заголовок Знак"/>
    <w:link w:val="Style_87_ch"/>
    <w:rPr>
      <w:sz w:val="22"/>
    </w:rPr>
  </w:style>
  <w:style w:styleId="Style_87_ch" w:type="character">
    <w:name w:val="Заголовок Знак"/>
    <w:link w:val="Style_87"/>
    <w:rPr>
      <w:sz w:val="22"/>
    </w:rPr>
  </w:style>
  <w:style w:styleId="Style_88" w:type="paragraph">
    <w:name w:val="Quote"/>
    <w:basedOn w:val="Style_5"/>
    <w:next w:val="Style_5"/>
    <w:link w:val="Style_88_ch"/>
    <w:pPr>
      <w:widowControl w:val="1"/>
      <w:ind w:left="720" w:right="720"/>
    </w:pPr>
    <w:rPr>
      <w:i w:val="1"/>
    </w:rPr>
  </w:style>
  <w:style w:styleId="Style_88_ch" w:type="character">
    <w:name w:val="Quote"/>
    <w:basedOn w:val="Style_5_ch"/>
    <w:link w:val="Style_88"/>
    <w:rPr>
      <w:i w:val="1"/>
    </w:rPr>
  </w:style>
  <w:style w:styleId="Style_89" w:type="paragraph">
    <w:name w:val="WW8Num28z1"/>
    <w:link w:val="Style_89_ch"/>
  </w:style>
  <w:style w:styleId="Style_89_ch" w:type="character">
    <w:name w:val="WW8Num28z1"/>
    <w:link w:val="Style_89"/>
  </w:style>
  <w:style w:styleId="Style_90" w:type="paragraph">
    <w:name w:val="Header and Footer"/>
    <w:basedOn w:val="Style_5"/>
    <w:link w:val="Style_90_ch"/>
    <w:pPr>
      <w:widowControl w:val="1"/>
      <w:tabs>
        <w:tab w:leader="none" w:pos="4819" w:val="center"/>
        <w:tab w:leader="none" w:pos="9638" w:val="right"/>
      </w:tabs>
      <w:ind/>
    </w:pPr>
  </w:style>
  <w:style w:styleId="Style_90_ch" w:type="character">
    <w:name w:val="Header and Footer"/>
    <w:basedOn w:val="Style_5_ch"/>
    <w:link w:val="Style_90"/>
  </w:style>
  <w:style w:styleId="Style_91" w:type="paragraph">
    <w:name w:val="WW8Num8z0"/>
    <w:link w:val="Style_91_ch"/>
    <w:rPr>
      <w:vertAlign w:val="superscript"/>
    </w:rPr>
  </w:style>
  <w:style w:styleId="Style_91_ch" w:type="character">
    <w:name w:val="WW8Num8z0"/>
    <w:link w:val="Style_91"/>
    <w:rPr>
      <w:vertAlign w:val="superscript"/>
    </w:rPr>
  </w:style>
  <w:style w:styleId="Style_92" w:type="paragraph">
    <w:name w:val="Body Text"/>
    <w:basedOn w:val="Style_5"/>
    <w:link w:val="Style_92_ch"/>
    <w:pPr>
      <w:widowControl w:val="1"/>
      <w:spacing w:after="0" w:line="240" w:lineRule="auto"/>
      <w:ind/>
      <w:jc w:val="both"/>
    </w:pPr>
    <w:rPr>
      <w:rFonts w:ascii="Times New Roman" w:hAnsi="Times New Roman"/>
      <w:sz w:val="24"/>
    </w:rPr>
  </w:style>
  <w:style w:styleId="Style_92_ch" w:type="character">
    <w:name w:val="Body Text"/>
    <w:basedOn w:val="Style_5_ch"/>
    <w:link w:val="Style_92"/>
    <w:rPr>
      <w:rFonts w:ascii="Times New Roman" w:hAnsi="Times New Roman"/>
      <w:sz w:val="24"/>
    </w:rPr>
  </w:style>
  <w:style w:styleId="Style_93" w:type="paragraph">
    <w:name w:val="WW8Num10z0"/>
    <w:link w:val="Style_93_ch"/>
    <w:rPr>
      <w:sz w:val="28"/>
    </w:rPr>
  </w:style>
  <w:style w:styleId="Style_93_ch" w:type="character">
    <w:name w:val="WW8Num10z0"/>
    <w:link w:val="Style_93"/>
    <w:rPr>
      <w:sz w:val="28"/>
    </w:rPr>
  </w:style>
  <w:style w:styleId="Style_94" w:type="paragraph">
    <w:name w:val="WW8Num24z0"/>
    <w:link w:val="Style_94_ch"/>
    <w:rPr>
      <w:sz w:val="18"/>
      <w:vertAlign w:val="superscript"/>
    </w:rPr>
  </w:style>
  <w:style w:styleId="Style_94_ch" w:type="character">
    <w:name w:val="WW8Num24z0"/>
    <w:link w:val="Style_94"/>
    <w:rPr>
      <w:sz w:val="18"/>
      <w:vertAlign w:val="superscript"/>
    </w:rPr>
  </w:style>
  <w:style w:styleId="Style_95" w:type="paragraph">
    <w:name w:val="WW8Num1z1"/>
    <w:link w:val="Style_95_ch"/>
    <w:rPr>
      <w:sz w:val="20"/>
    </w:rPr>
  </w:style>
  <w:style w:styleId="Style_95_ch" w:type="character">
    <w:name w:val="WW8Num1z1"/>
    <w:link w:val="Style_95"/>
    <w:rPr>
      <w:sz w:val="20"/>
    </w:rPr>
  </w:style>
  <w:style w:styleId="Style_96" w:type="paragraph">
    <w:name w:val="toc 9"/>
    <w:basedOn w:val="Style_5"/>
    <w:next w:val="Style_5"/>
    <w:link w:val="Style_96_ch"/>
    <w:uiPriority w:val="39"/>
    <w:pPr>
      <w:widowControl w:val="1"/>
      <w:spacing w:after="57"/>
      <w:ind w:left="2268"/>
    </w:pPr>
  </w:style>
  <w:style w:styleId="Style_96_ch" w:type="character">
    <w:name w:val="toc 9"/>
    <w:basedOn w:val="Style_5_ch"/>
    <w:link w:val="Style_96"/>
  </w:style>
  <w:style w:styleId="Style_97" w:type="paragraph">
    <w:name w:val="WW8Num2z1"/>
    <w:link w:val="Style_97_ch"/>
    <w:rPr>
      <w:sz w:val="28"/>
    </w:rPr>
  </w:style>
  <w:style w:styleId="Style_97_ch" w:type="character">
    <w:name w:val="WW8Num2z1"/>
    <w:link w:val="Style_97"/>
    <w:rPr>
      <w:sz w:val="28"/>
    </w:rPr>
  </w:style>
  <w:style w:styleId="Style_98" w:type="paragraph">
    <w:name w:val="WW8Num12z0"/>
    <w:link w:val="Style_98_ch"/>
  </w:style>
  <w:style w:styleId="Style_98_ch" w:type="character">
    <w:name w:val="WW8Num12z0"/>
    <w:link w:val="Style_98"/>
  </w:style>
  <w:style w:styleId="Style_99" w:type="paragraph">
    <w:name w:val="TOC Heading"/>
    <w:link w:val="Style_99_ch"/>
  </w:style>
  <w:style w:styleId="Style_99_ch" w:type="character">
    <w:name w:val="TOC Heading"/>
    <w:link w:val="Style_99"/>
  </w:style>
  <w:style w:styleId="Style_3" w:type="paragraph">
    <w:name w:val="ConsPlusTitle"/>
    <w:link w:val="Style_3_ch"/>
    <w:pPr>
      <w:widowControl w:val="0"/>
      <w:ind/>
    </w:pPr>
    <w:rPr>
      <w:rFonts w:ascii="Arial" w:hAnsi="Arial"/>
      <w:b w:val="1"/>
      <w:sz w:val="20"/>
    </w:rPr>
  </w:style>
  <w:style w:styleId="Style_3_ch" w:type="character">
    <w:name w:val="ConsPlusTitle"/>
    <w:link w:val="Style_3"/>
    <w:rPr>
      <w:rFonts w:ascii="Arial" w:hAnsi="Arial"/>
      <w:b w:val="1"/>
      <w:sz w:val="20"/>
    </w:rPr>
  </w:style>
  <w:style w:styleId="Style_100" w:type="paragraph">
    <w:name w:val="WW8Num32z0"/>
    <w:link w:val="Style_100_ch"/>
  </w:style>
  <w:style w:styleId="Style_100_ch" w:type="character">
    <w:name w:val="WW8Num32z0"/>
    <w:link w:val="Style_100"/>
  </w:style>
  <w:style w:styleId="Style_101" w:type="paragraph">
    <w:name w:val="WW8Num4z0"/>
    <w:link w:val="Style_101_ch"/>
    <w:rPr>
      <w:sz w:val="20"/>
    </w:rPr>
  </w:style>
  <w:style w:styleId="Style_101_ch" w:type="character">
    <w:name w:val="WW8Num4z0"/>
    <w:link w:val="Style_101"/>
    <w:rPr>
      <w:sz w:val="20"/>
    </w:rPr>
  </w:style>
  <w:style w:styleId="Style_102" w:type="paragraph">
    <w:name w:val="WW8Num25z0"/>
    <w:link w:val="Style_102_ch"/>
  </w:style>
  <w:style w:styleId="Style_102_ch" w:type="character">
    <w:name w:val="WW8Num25z0"/>
    <w:link w:val="Style_102"/>
  </w:style>
  <w:style w:styleId="Style_103" w:type="paragraph">
    <w:name w:val="toc 8"/>
    <w:basedOn w:val="Style_5"/>
    <w:next w:val="Style_5"/>
    <w:link w:val="Style_103_ch"/>
    <w:uiPriority w:val="39"/>
    <w:pPr>
      <w:widowControl w:val="1"/>
      <w:spacing w:after="57"/>
      <w:ind w:left="1984"/>
    </w:pPr>
  </w:style>
  <w:style w:styleId="Style_103_ch" w:type="character">
    <w:name w:val="toc 8"/>
    <w:basedOn w:val="Style_5_ch"/>
    <w:link w:val="Style_103"/>
  </w:style>
  <w:style w:styleId="Style_104" w:type="paragraph">
    <w:name w:val="List Paragraph"/>
    <w:basedOn w:val="Style_5"/>
    <w:link w:val="Style_104_ch"/>
    <w:pPr>
      <w:widowControl w:val="1"/>
      <w:spacing w:after="0" w:line="240" w:lineRule="auto"/>
      <w:ind w:left="720"/>
      <w:contextualSpacing w:val="1"/>
    </w:pPr>
    <w:rPr>
      <w:rFonts w:ascii="Times New Roman" w:hAnsi="Times New Roman"/>
      <w:sz w:val="24"/>
    </w:rPr>
  </w:style>
  <w:style w:styleId="Style_104_ch" w:type="character">
    <w:name w:val="List Paragraph"/>
    <w:basedOn w:val="Style_5_ch"/>
    <w:link w:val="Style_104"/>
    <w:rPr>
      <w:rFonts w:ascii="Times New Roman" w:hAnsi="Times New Roman"/>
      <w:sz w:val="24"/>
    </w:rPr>
  </w:style>
  <w:style w:styleId="Style_105" w:type="paragraph">
    <w:name w:val="WW8Num18z2"/>
    <w:link w:val="Style_105_ch"/>
    <w:rPr>
      <w:rFonts w:ascii="Wingdings" w:hAnsi="Wingdings"/>
    </w:rPr>
  </w:style>
  <w:style w:styleId="Style_105_ch" w:type="character">
    <w:name w:val="WW8Num18z2"/>
    <w:link w:val="Style_105"/>
    <w:rPr>
      <w:rFonts w:ascii="Wingdings" w:hAnsi="Wingdings"/>
    </w:rPr>
  </w:style>
  <w:style w:styleId="Style_106" w:type="paragraph">
    <w:name w:val="Заголовок 5 Знак"/>
    <w:link w:val="Style_106_ch"/>
    <w:rPr>
      <w:b w:val="1"/>
      <w:sz w:val="28"/>
    </w:rPr>
  </w:style>
  <w:style w:styleId="Style_106_ch" w:type="character">
    <w:name w:val="Заголовок 5 Знак"/>
    <w:link w:val="Style_106"/>
    <w:rPr>
      <w:b w:val="1"/>
      <w:sz w:val="28"/>
    </w:rPr>
  </w:style>
  <w:style w:styleId="Style_107" w:type="paragraph">
    <w:name w:val="ConsPlusNormal Знак"/>
    <w:link w:val="Style_107_ch"/>
    <w:rPr>
      <w:rFonts w:ascii="Arial" w:hAnsi="Arial"/>
    </w:rPr>
  </w:style>
  <w:style w:styleId="Style_107_ch" w:type="character">
    <w:name w:val="ConsPlusNormal Знак"/>
    <w:link w:val="Style_107"/>
    <w:rPr>
      <w:rFonts w:ascii="Arial" w:hAnsi="Arial"/>
    </w:rPr>
  </w:style>
  <w:style w:styleId="Style_108" w:type="paragraph">
    <w:name w:val="toc 5"/>
    <w:basedOn w:val="Style_5"/>
    <w:next w:val="Style_5"/>
    <w:link w:val="Style_108_ch"/>
    <w:uiPriority w:val="39"/>
    <w:pPr>
      <w:widowControl w:val="1"/>
      <w:spacing w:after="57"/>
      <w:ind w:left="1134"/>
    </w:pPr>
  </w:style>
  <w:style w:styleId="Style_108_ch" w:type="character">
    <w:name w:val="toc 5"/>
    <w:basedOn w:val="Style_5_ch"/>
    <w:link w:val="Style_108"/>
  </w:style>
  <w:style w:styleId="Style_109" w:type="paragraph">
    <w:name w:val="Верхний колонтитул Знак"/>
    <w:link w:val="Style_109_ch"/>
    <w:rPr>
      <w:sz w:val="22"/>
    </w:rPr>
  </w:style>
  <w:style w:styleId="Style_109_ch" w:type="character">
    <w:name w:val="Верхний колонтитул Знак"/>
    <w:link w:val="Style_109"/>
    <w:rPr>
      <w:sz w:val="22"/>
    </w:rPr>
  </w:style>
  <w:style w:styleId="Style_4" w:type="paragraph">
    <w:name w:val="Normal (Web)"/>
    <w:basedOn w:val="Style_5"/>
    <w:link w:val="Style_4_ch"/>
    <w:pPr>
      <w:widowControl w:val="1"/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4_ch" w:type="character">
    <w:name w:val="Normal (Web)"/>
    <w:basedOn w:val="Style_5_ch"/>
    <w:link w:val="Style_4"/>
    <w:rPr>
      <w:rFonts w:ascii="Times New Roman" w:hAnsi="Times New Roman"/>
      <w:color w:val="000000"/>
      <w:sz w:val="24"/>
    </w:rPr>
  </w:style>
  <w:style w:styleId="Style_81" w:type="paragraph">
    <w:name w:val="Default Paragraph Font"/>
    <w:link w:val="Style_81_ch"/>
  </w:style>
  <w:style w:styleId="Style_81_ch" w:type="character">
    <w:name w:val="Default Paragraph Font"/>
    <w:link w:val="Style_81"/>
  </w:style>
  <w:style w:styleId="Style_110" w:type="paragraph">
    <w:name w:val="Текст концевой сноски Знак1"/>
    <w:basedOn w:val="Style_81"/>
    <w:link w:val="Style_110_ch"/>
    <w:rPr>
      <w:rFonts w:ascii="Calibri" w:hAnsi="Calibri"/>
      <w:sz w:val="20"/>
    </w:rPr>
  </w:style>
  <w:style w:styleId="Style_110_ch" w:type="character">
    <w:name w:val="Текст концевой сноски Знак1"/>
    <w:basedOn w:val="Style_81_ch"/>
    <w:link w:val="Style_110"/>
    <w:rPr>
      <w:rFonts w:ascii="Calibri" w:hAnsi="Calibri"/>
      <w:sz w:val="20"/>
    </w:rPr>
  </w:style>
  <w:style w:styleId="Style_111" w:type="paragraph">
    <w:name w:val="WW8Num37z0"/>
    <w:link w:val="Style_111_ch"/>
  </w:style>
  <w:style w:styleId="Style_111_ch" w:type="character">
    <w:name w:val="WW8Num37z0"/>
    <w:link w:val="Style_111"/>
  </w:style>
  <w:style w:styleId="Style_112" w:type="paragraph">
    <w:name w:val="WW8Num39z0"/>
    <w:link w:val="Style_112_ch"/>
  </w:style>
  <w:style w:styleId="Style_112_ch" w:type="character">
    <w:name w:val="WW8Num39z0"/>
    <w:link w:val="Style_112"/>
  </w:style>
  <w:style w:styleId="Style_113" w:type="paragraph">
    <w:name w:val="List"/>
    <w:basedOn w:val="Style_92"/>
    <w:link w:val="Style_113_ch"/>
  </w:style>
  <w:style w:styleId="Style_113_ch" w:type="character">
    <w:name w:val="List"/>
    <w:basedOn w:val="Style_92_ch"/>
    <w:link w:val="Style_113"/>
  </w:style>
  <w:style w:styleId="Style_114" w:type="paragraph">
    <w:name w:val="Subtitle"/>
    <w:basedOn w:val="Style_5"/>
    <w:next w:val="Style_5"/>
    <w:link w:val="Style_114_ch"/>
    <w:uiPriority w:val="11"/>
    <w:qFormat/>
    <w:pPr>
      <w:widowControl w:val="1"/>
      <w:spacing w:before="200"/>
      <w:ind/>
    </w:pPr>
    <w:rPr>
      <w:sz w:val="24"/>
    </w:rPr>
  </w:style>
  <w:style w:styleId="Style_114_ch" w:type="character">
    <w:name w:val="Subtitle"/>
    <w:basedOn w:val="Style_5_ch"/>
    <w:link w:val="Style_114"/>
    <w:rPr>
      <w:sz w:val="24"/>
    </w:rPr>
  </w:style>
  <w:style w:styleId="Style_115" w:type="paragraph">
    <w:name w:val="ConsPlusDocList"/>
    <w:link w:val="Style_115_ch"/>
    <w:rPr>
      <w:rFonts w:ascii="Courier New" w:hAnsi="Courier New"/>
      <w:sz w:val="20"/>
    </w:rPr>
  </w:style>
  <w:style w:styleId="Style_115_ch" w:type="character">
    <w:name w:val="ConsPlusDocList"/>
    <w:link w:val="Style_115"/>
    <w:rPr>
      <w:rFonts w:ascii="Courier New" w:hAnsi="Courier New"/>
      <w:sz w:val="20"/>
    </w:rPr>
  </w:style>
  <w:style w:styleId="Style_116" w:type="paragraph">
    <w:name w:val="WW8Num45z1"/>
    <w:link w:val="Style_116_ch"/>
  </w:style>
  <w:style w:styleId="Style_116_ch" w:type="character">
    <w:name w:val="WW8Num45z1"/>
    <w:link w:val="Style_116"/>
  </w:style>
  <w:style w:styleId="Style_117" w:type="paragraph">
    <w:name w:val="Текст выноски Знак"/>
    <w:link w:val="Style_117_ch"/>
    <w:rPr>
      <w:rFonts w:ascii="Tahoma" w:hAnsi="Tahoma"/>
      <w:sz w:val="16"/>
    </w:rPr>
  </w:style>
  <w:style w:styleId="Style_117_ch" w:type="character">
    <w:name w:val="Текст выноски Знак"/>
    <w:link w:val="Style_117"/>
    <w:rPr>
      <w:rFonts w:ascii="Tahoma" w:hAnsi="Tahoma"/>
      <w:sz w:val="16"/>
    </w:rPr>
  </w:style>
  <w:style w:styleId="Style_118" w:type="paragraph">
    <w:name w:val="WW8Num18z3"/>
    <w:link w:val="Style_118_ch"/>
    <w:rPr>
      <w:rFonts w:ascii="Symbol" w:hAnsi="Symbol"/>
    </w:rPr>
  </w:style>
  <w:style w:styleId="Style_118_ch" w:type="character">
    <w:name w:val="WW8Num18z3"/>
    <w:link w:val="Style_118"/>
    <w:rPr>
      <w:rFonts w:ascii="Symbol" w:hAnsi="Symbol"/>
    </w:rPr>
  </w:style>
  <w:style w:styleId="Style_119" w:type="paragraph">
    <w:name w:val="Title"/>
    <w:basedOn w:val="Style_5"/>
    <w:next w:val="Style_5"/>
    <w:link w:val="Style_119_ch"/>
    <w:uiPriority w:val="10"/>
    <w:qFormat/>
    <w:pPr>
      <w:widowControl w:val="1"/>
      <w:spacing w:before="300"/>
      <w:ind/>
      <w:contextualSpacing w:val="1"/>
    </w:pPr>
    <w:rPr>
      <w:sz w:val="48"/>
    </w:rPr>
  </w:style>
  <w:style w:styleId="Style_119_ch" w:type="character">
    <w:name w:val="Title"/>
    <w:basedOn w:val="Style_5_ch"/>
    <w:link w:val="Style_119"/>
    <w:rPr>
      <w:sz w:val="48"/>
    </w:rPr>
  </w:style>
  <w:style w:styleId="Style_120" w:type="paragraph">
    <w:name w:val="WW8Num18z1"/>
    <w:link w:val="Style_120_ch"/>
    <w:rPr>
      <w:rFonts w:ascii="Courier New" w:hAnsi="Courier New"/>
    </w:rPr>
  </w:style>
  <w:style w:styleId="Style_120_ch" w:type="character">
    <w:name w:val="WW8Num18z1"/>
    <w:link w:val="Style_120"/>
    <w:rPr>
      <w:rFonts w:ascii="Courier New" w:hAnsi="Courier New"/>
    </w:rPr>
  </w:style>
  <w:style w:styleId="Style_121" w:type="paragraph">
    <w:name w:val="heading 4"/>
    <w:basedOn w:val="Style_5"/>
    <w:next w:val="Style_5"/>
    <w:link w:val="Style_121_ch"/>
    <w:uiPriority w:val="9"/>
    <w:qFormat/>
    <w:pPr>
      <w:keepNext w:val="1"/>
      <w:widowControl w:val="1"/>
      <w:numPr>
        <w:ilvl w:val="3"/>
        <w:numId w:val="2"/>
      </w:numPr>
      <w:spacing w:after="0" w:line="240" w:lineRule="auto"/>
      <w:ind/>
      <w:jc w:val="center"/>
      <w:outlineLvl w:val="3"/>
    </w:pPr>
    <w:rPr>
      <w:rFonts w:ascii="Times New Roman" w:hAnsi="Times New Roman"/>
      <w:b w:val="1"/>
      <w:sz w:val="36"/>
    </w:rPr>
  </w:style>
  <w:style w:styleId="Style_121_ch" w:type="character">
    <w:name w:val="heading 4"/>
    <w:basedOn w:val="Style_5_ch"/>
    <w:link w:val="Style_121"/>
    <w:rPr>
      <w:rFonts w:ascii="Times New Roman" w:hAnsi="Times New Roman"/>
      <w:b w:val="1"/>
      <w:sz w:val="36"/>
    </w:rPr>
  </w:style>
  <w:style w:styleId="Style_122" w:type="paragraph">
    <w:name w:val="Обычный1"/>
    <w:link w:val="Style_122_ch"/>
    <w:rPr>
      <w:rFonts w:ascii="Calibri" w:hAnsi="Calibri"/>
      <w:sz w:val="22"/>
    </w:rPr>
  </w:style>
  <w:style w:styleId="Style_122_ch" w:type="character">
    <w:name w:val="Обычный1"/>
    <w:link w:val="Style_122"/>
    <w:rPr>
      <w:rFonts w:ascii="Calibri" w:hAnsi="Calibri"/>
      <w:sz w:val="22"/>
    </w:rPr>
  </w:style>
  <w:style w:styleId="Style_123" w:type="paragraph">
    <w:name w:val="WW8Num11z0"/>
    <w:link w:val="Style_123_ch"/>
  </w:style>
  <w:style w:styleId="Style_123_ch" w:type="character">
    <w:name w:val="WW8Num11z0"/>
    <w:link w:val="Style_123"/>
  </w:style>
  <w:style w:styleId="Style_124" w:type="paragraph">
    <w:name w:val="Table Heading"/>
    <w:basedOn w:val="Style_49"/>
    <w:link w:val="Style_124_ch"/>
    <w:pPr>
      <w:widowControl w:val="1"/>
      <w:ind/>
      <w:jc w:val="center"/>
    </w:pPr>
    <w:rPr>
      <w:b w:val="1"/>
    </w:rPr>
  </w:style>
  <w:style w:styleId="Style_124_ch" w:type="character">
    <w:name w:val="Table Heading"/>
    <w:basedOn w:val="Style_49_ch"/>
    <w:link w:val="Style_124"/>
    <w:rPr>
      <w:b w:val="1"/>
    </w:rPr>
  </w:style>
  <w:style w:styleId="Style_125" w:type="paragraph">
    <w:name w:val="heading 2"/>
    <w:basedOn w:val="Style_5"/>
    <w:next w:val="Style_5"/>
    <w:link w:val="Style_125_ch"/>
    <w:uiPriority w:val="9"/>
    <w:qFormat/>
    <w:pPr>
      <w:keepNext w:val="1"/>
      <w:keepLines w:val="1"/>
      <w:widowControl w:val="1"/>
      <w:spacing w:before="360"/>
      <w:ind/>
      <w:outlineLvl w:val="1"/>
    </w:pPr>
    <w:rPr>
      <w:rFonts w:ascii="Arial" w:hAnsi="Arial"/>
      <w:sz w:val="34"/>
    </w:rPr>
  </w:style>
  <w:style w:styleId="Style_125_ch" w:type="character">
    <w:name w:val="heading 2"/>
    <w:basedOn w:val="Style_5_ch"/>
    <w:link w:val="Style_125"/>
    <w:rPr>
      <w:rFonts w:ascii="Arial" w:hAnsi="Arial"/>
      <w:sz w:val="34"/>
    </w:rPr>
  </w:style>
  <w:style w:styleId="Style_126" w:type="paragraph">
    <w:name w:val="WW8Num40z0"/>
    <w:link w:val="Style_126_ch"/>
    <w:rPr>
      <w:sz w:val="28"/>
    </w:rPr>
  </w:style>
  <w:style w:styleId="Style_126_ch" w:type="character">
    <w:name w:val="WW8Num40z0"/>
    <w:link w:val="Style_126"/>
    <w:rPr>
      <w:sz w:val="28"/>
    </w:rPr>
  </w:style>
  <w:style w:styleId="Style_127" w:type="paragraph">
    <w:name w:val="WW8Num7z0"/>
    <w:link w:val="Style_127_ch"/>
    <w:rPr>
      <w:sz w:val="28"/>
    </w:rPr>
  </w:style>
  <w:style w:styleId="Style_127_ch" w:type="character">
    <w:name w:val="WW8Num7z0"/>
    <w:link w:val="Style_127"/>
    <w:rPr>
      <w:sz w:val="28"/>
    </w:rPr>
  </w:style>
  <w:style w:styleId="Style_128" w:type="paragraph">
    <w:name w:val="heading 6"/>
    <w:basedOn w:val="Style_5"/>
    <w:next w:val="Style_5"/>
    <w:link w:val="Style_128_ch"/>
    <w:uiPriority w:val="9"/>
    <w:qFormat/>
    <w:pPr>
      <w:keepNext w:val="1"/>
      <w:keepLines w:val="1"/>
      <w:widowControl w:val="1"/>
      <w:spacing w:before="320"/>
      <w:ind/>
      <w:outlineLvl w:val="5"/>
    </w:pPr>
    <w:rPr>
      <w:rFonts w:ascii="Arial" w:hAnsi="Arial"/>
      <w:b w:val="1"/>
    </w:rPr>
  </w:style>
  <w:style w:styleId="Style_128_ch" w:type="character">
    <w:name w:val="heading 6"/>
    <w:basedOn w:val="Style_5_ch"/>
    <w:link w:val="Style_128"/>
    <w:rPr>
      <w:rFonts w:ascii="Arial" w:hAnsi="Arial"/>
      <w:b w:val="1"/>
    </w:rPr>
  </w:style>
  <w:style w:styleId="Style_129" w:type="table">
    <w:name w:val="Grid Table 3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0" w:type="table">
    <w:name w:val="Plain Table 3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31" w:type="table">
    <w:name w:val="List Table 7 Colorful - Accent 5"/>
    <w:tblPr>
      <w:tblInd w:type="dxa" w:w="0"/>
      <w:tblBorders>
        <w:right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2" w:type="table">
    <w:name w:val="List Table 1 Light - Accent 1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33" w:type="table">
    <w:name w:val="Grid Table 2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4" w:type="table">
    <w:name w:val="Grid Table 4 - Accent 2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5" w:type="table">
    <w:name w:val="Plain Table 4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36" w:type="table">
    <w:name w:val="List Table 6 Colorful - Accent 1"/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7" w:type="table">
    <w:name w:val="List Table 7 Colorful - Accent 4"/>
    <w:tblPr>
      <w:tblInd w:type="dxa" w:w="0"/>
      <w:tblBorders>
        <w:right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8" w:type="table">
    <w:name w:val="Table Grid Light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List Table 5 Dark - Accent 3"/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0" w:type="table">
    <w:name w:val="List Table 5 Dark"/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1" w:type="table">
    <w:name w:val="Grid Table 7 Colorful - Accent 1"/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default="1" w:styleId="Style_1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Table Grid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List Table 2 - Accent 2"/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5" w:type="table">
    <w:name w:val="List Table 7 Colorful - Accent 2"/>
    <w:tblPr>
      <w:tblInd w:type="dxa" w:w="0"/>
      <w:tblBorders>
        <w:right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6" w:type="table">
    <w:name w:val="Plain Table 2"/>
    <w:tblPr>
      <w:tblInd w:type="dxa" w:w="0"/>
      <w:tblBorders>
        <w:top w:sz="4" w:themeColor="text1" w:val="single"/>
        <w:left w:sz="4" w:val="nil"/>
        <w:bottom w:sz="4" w:themeColor="text1" w:val="single"/>
        <w:right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List Table 4 - Accent 5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8" w:type="table">
    <w:name w:val="Grid Table 6 Colorful - Accent 4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9" w:type="table">
    <w:name w:val="List Table 2 - Accent 6"/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0" w:type="table">
    <w:name w:val="List Table 1 Light - Accent 3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51" w:type="table">
    <w:name w:val="Grid Table 2 - Accent 3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2" w:type="table">
    <w:name w:val="Grid Table 5 Dark - Accent 5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3" w:type="table">
    <w:name w:val="List Table 7 Colorful - Accent 6"/>
    <w:tblPr>
      <w:tblInd w:type="dxa" w:w="0"/>
      <w:tblBorders>
        <w:right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4" w:type="table">
    <w:name w:val="Grid Table 1 Light - Accent 6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5" w:type="table">
    <w:name w:val="Сетка таблицы1"/>
    <w:basedOn w:val="Style_142"/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56" w:type="table">
    <w:name w:val="Grid Table 2 - Accent 2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7" w:type="table">
    <w:name w:val="Grid Table 5 Dark - Accent 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8" w:type="table">
    <w:name w:val="Grid Table 3 - Accent 6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9" w:type="table">
    <w:name w:val="Grid Table 5 Dark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0" w:type="table">
    <w:name w:val="List Table 5 Dark - Accent 5"/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1" w:type="table">
    <w:name w:val="List Table 5 Dark - Accent 4"/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2" w:type="table">
    <w:name w:val="List Table 3 - Accent 5"/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3" w:type="table">
    <w:name w:val="Grid Table 2 - Accent 4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4" w:type="table">
    <w:name w:val="Bordered &amp; Lined - Accent"/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5" w:type="table">
    <w:name w:val="List Table 6 Colorful - Accent 3"/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6" w:type="table">
    <w:name w:val="List Table 2 - Accent 1"/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7" w:type="table">
    <w:name w:val="List Table 5 Dark - Accent 2"/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8" w:type="table">
    <w:name w:val="Grid Table 3 - Accent 3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9" w:type="table">
    <w:name w:val="Grid Table 7 Colorful - Accent 6"/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0" w:type="table">
    <w:name w:val="List Table 2"/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1" w:type="table">
    <w:name w:val="List Table 7 Colorful - Accent 3"/>
    <w:tblPr>
      <w:tblInd w:type="dxa" w:w="0"/>
      <w:tblBorders>
        <w:right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2" w:type="table">
    <w:name w:val="Grid Table 7 Colorful - Accent 5"/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3" w:type="table">
    <w:name w:val="Grid Table 1 Light - Accent 4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4" w:type="table">
    <w:name w:val="List Table 5 Dark - Accent 1"/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5" w:type="table">
    <w:name w:val="Сетка таблицы2"/>
    <w:basedOn w:val="Style_142"/>
    <w:rPr>
      <w:rFonts w:ascii="Calibri" w:hAnsi="Calibri"/>
      <w:color w:val="000000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6" w:type="table">
    <w:name w:val="Lined - Accent 1"/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77" w:type="table">
    <w:name w:val="List Table 1 Light - Accent 6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78" w:type="table">
    <w:name w:val="Bordered - Accent 2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9" w:type="table">
    <w:name w:val="Bordered &amp; Lined - Accent 2"/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0" w:type="table">
    <w:name w:val="Grid Table 1 Light - Accent 5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1" w:type="table">
    <w:name w:val="Lined - Accent 4"/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82" w:type="table">
    <w:name w:val="List Table 3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3" w:type="table">
    <w:name w:val="List Table 6 Colorful - Accent 5"/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4" w:type="table">
    <w:name w:val="List Table 3 - Accent 4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5" w:type="table">
    <w:name w:val="Bordered - Accent 1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6" w:type="table">
    <w:name w:val="List Table 3 - Accent 3"/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7" w:type="table">
    <w:name w:val="List Table 4 - Accent 6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8" w:type="table">
    <w:name w:val="Bordered &amp; Lined - Accent 3"/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9" w:type="table">
    <w:name w:val="Grid Table 6 Colorful - Accent 5"/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0" w:type="table">
    <w:name w:val="Bordered - Accent 6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1" w:type="table">
    <w:name w:val="Grid Table 6 Colorful - Accent 3"/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2" w:type="table">
    <w:name w:val="List Table 2 - Accent 5"/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3" w:type="table">
    <w:name w:val="Grid Table 4 - Accent 6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4" w:type="table">
    <w:name w:val="Grid Table 3 - Accent 4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5" w:type="table">
    <w:name w:val="Bordered"/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6" w:type="table">
    <w:name w:val="List Table 6 Colorful"/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7" w:type="table">
    <w:name w:val="Grid Table 7 Colorful"/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8" w:type="table">
    <w:name w:val="Lined - Accent"/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99" w:type="table">
    <w:name w:val="List Table 6 Colorful - Accent 2"/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0" w:type="table">
    <w:name w:val="List Table 2 - Accent 3"/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1" w:type="table">
    <w:name w:val="Grid Table 2 - Accent 1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2" w:type="table">
    <w:name w:val="Lined - Accent 6"/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03" w:type="table">
    <w:name w:val="Grid Table 4 - Accent 4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4" w:type="table">
    <w:name w:val="Lined - Accent 5"/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05" w:type="table">
    <w:name w:val="Grid Table 4 - Accent 3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6" w:type="table">
    <w:name w:val="Grid Table 1 Light - Accent 2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7" w:type="table">
    <w:name w:val="List Table 1 Light - Accent 4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08" w:type="table">
    <w:name w:val="Grid Table 4"/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9" w:type="table">
    <w:name w:val="Plain Table 5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10" w:type="table">
    <w:name w:val="List Table 1 Light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11" w:type="table">
    <w:name w:val="Grid Table 3 - Accent 2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2" w:type="table">
    <w:name w:val="Grid Table 6 Colorful - Accent 2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3" w:type="table">
    <w:name w:val="Grid Table 4 - Accent 5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4" w:type="table">
    <w:name w:val="List Table 6 Colorful - Accent 6"/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5" w:type="table">
    <w:name w:val="Bordered - Accent 3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6" w:type="table">
    <w:name w:val="Grid Table 1 Light - Accent 1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7" w:type="table">
    <w:name w:val="List Table 3 - Accent 6"/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8" w:type="table">
    <w:name w:val="Grid Table 3 - Accent 1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9" w:type="table">
    <w:name w:val="List Table 7 Colorful"/>
    <w:tblPr>
      <w:tblInd w:type="dxa" w:w="0"/>
      <w:tblBorders>
        <w:right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0" w:type="table">
    <w:name w:val="List Table 2 - Accent 4"/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1" w:type="table">
    <w:name w:val="Grid Table 6 Colorful"/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2" w:type="table">
    <w:name w:val="Grid Table 2 - Accent 6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3" w:type="table">
    <w:name w:val="Bordered &amp; Lined - Accent 5"/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4" w:type="table">
    <w:name w:val="List Table 4 - Accent 2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5" w:type="table">
    <w:name w:val="Grid Table 3 - Accent 5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6" w:type="table">
    <w:name w:val="Grid Table 6 Colorful - Accent 6"/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7" w:type="table">
    <w:name w:val="Grid Table 6 Colorful - Accent 1"/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8" w:type="table">
    <w:name w:val="Grid Table 5 Dark - Accent 3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9" w:type="table">
    <w:name w:val="Grid Table 7 Colorful - Accent 4"/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0" w:type="table">
    <w:name w:val="Bordered &amp; Lined - Accent 1"/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1" w:type="table">
    <w:name w:val="List Table 6 Colorful - Accent 4"/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2" w:type="table">
    <w:name w:val="List Table 5 Dark - Accent 6"/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3" w:type="table">
    <w:name w:val="Grid Table 5 Dark- Accent 4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4" w:type="table">
    <w:name w:val="Grid Table 1 Light - Accent 3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5" w:type="table">
    <w:name w:val="List Table 1 Light - Accent 5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36" w:type="table">
    <w:name w:val="Grid Table 4 - Accent 1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7" w:type="table">
    <w:name w:val="Bordered - Accent 4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8" w:type="table">
    <w:name w:val="Grid Table 5 Dark- Accent 1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9" w:type="table">
    <w:name w:val="Lined - Accent 2"/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40" w:type="table">
    <w:name w:val="List Table 4 - Accent 4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1" w:type="table">
    <w:name w:val="List Table 7 Colorful - Accent 1"/>
    <w:tblPr>
      <w:tblInd w:type="dxa" w:w="0"/>
      <w:tblBorders>
        <w:right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2" w:type="table">
    <w:name w:val="List Table 4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3" w:type="table">
    <w:name w:val="Grid Table 1 Light"/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4" w:type="table">
    <w:name w:val="Bordered - Accent 5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5" w:type="table">
    <w:name w:val="List Table 4 - Accent 1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6" w:type="table">
    <w:name w:val="Grid Table 5 Dark - Accent 6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7" w:type="table">
    <w:name w:val="List Table 3 - Accent 2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8" w:type="table">
    <w:name w:val="Grid Table 2 - Accent 5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9" w:type="table">
    <w:name w:val="Plain Table 1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50" w:type="table">
    <w:name w:val="Grid Table 7 Colorful - Accent 2"/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1" w:type="table">
    <w:name w:val="Bordered &amp; Lined - Accent 6"/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2" w:type="table">
    <w:name w:val="Lined - Accent 3"/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53" w:type="table">
    <w:name w:val="List Table 4 - Accent 3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4" w:type="table">
    <w:name w:val="List Table 3 - Accent 1"/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5" w:type="table">
    <w:name w:val="Grid Table 7 Colorful - Accent 3"/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6" w:type="table">
    <w:name w:val="List Table 1 Light - Accent 2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257" w:type="table">
    <w:name w:val="Bordered &amp; Lined - Accent 4"/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settings.xml" Type="http://schemas.openxmlformats.org/officeDocument/2006/relationships/settings"/>
  <Relationship Id="rId7" Target="media/5.wmf" Type="http://schemas.openxmlformats.org/officeDocument/2006/relationships/image"/>
  <Relationship Id="rId6" Target="media/4.wmf" Type="http://schemas.openxmlformats.org/officeDocument/2006/relationships/image"/>
  <Relationship Id="rId14" Target="media/12.wmf" Type="http://schemas.openxmlformats.org/officeDocument/2006/relationships/image"/>
  <Relationship Id="rId13" Target="media/11.wmf" Type="http://schemas.openxmlformats.org/officeDocument/2006/relationships/image"/>
  <Relationship Id="rId22" Target="numbering.xml" Type="http://schemas.openxmlformats.org/officeDocument/2006/relationships/numbering"/>
  <Relationship Id="rId18" Target="styles.xml" Type="http://schemas.openxmlformats.org/officeDocument/2006/relationships/styles"/>
  <Relationship Id="rId4" Target="media/2.wmf" Type="http://schemas.openxmlformats.org/officeDocument/2006/relationships/image"/>
  <Relationship Id="rId3" Target="media/1.wmf" Type="http://schemas.openxmlformats.org/officeDocument/2006/relationships/image"/>
  <Relationship Id="rId12" Target="media/10.wmf" Type="http://schemas.openxmlformats.org/officeDocument/2006/relationships/image"/>
  <Relationship Id="rId10" Target="media/8.wmf" Type="http://schemas.openxmlformats.org/officeDocument/2006/relationships/image"/>
  <Relationship Id="rId19" Target="stylesWithEffects.xml" Type="http://schemas.microsoft.com/office/2007/relationships/stylesWithEffects"/>
  <Relationship Id="rId5" Target="media/3.wmf" Type="http://schemas.openxmlformats.org/officeDocument/2006/relationships/image"/>
  <Relationship Id="rId11" Target="media/9.wmf" Type="http://schemas.openxmlformats.org/officeDocument/2006/relationships/image"/>
  <Relationship Id="rId8" Target="media/6.wmf" Type="http://schemas.openxmlformats.org/officeDocument/2006/relationships/image"/>
  <Relationship Id="rId16" Target="fontTable.xml" Type="http://schemas.openxmlformats.org/officeDocument/2006/relationships/fontTable"/>
  <Relationship Id="rId20" Target="webSettings.xml" Type="http://schemas.openxmlformats.org/officeDocument/2006/relationships/webSettings"/>
  <Relationship Id="rId2" Target="header2.xml" Type="http://schemas.openxmlformats.org/officeDocument/2006/relationships/header"/>
  <Relationship Id="rId21" Target="theme/theme1.xml" Type="http://schemas.openxmlformats.org/officeDocument/2006/relationships/theme"/>
  <Relationship Id="rId9" Target="media/7.wmf" Type="http://schemas.openxmlformats.org/officeDocument/2006/relationships/image"/>
  <Relationship Id="rId15" Target="media/13.wmf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MyOffice-CoreFramework-Windows/35-1293.911.9687.924.1@3065433889e9422a60f2a089cccee7a93518be58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2024-11-13T03:56:00Z</dcterms:created>
  <dcterms:modified xsi:type="dcterms:W3CDTF">2025-06-05T05:33:37Z</dcterms:modified>
</cp:coreProperties>
</file>