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ind/>
        <w:rPr>
          <w:sz w:val="22"/>
        </w:rPr>
      </w:pPr>
    </w:p>
    <w:p w14:paraId="03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  </w:t>
      </w:r>
      <w:r>
        <w:rPr>
          <w:sz w:val="28"/>
        </w:rPr>
        <w:t>Утверждено:</w:t>
      </w:r>
    </w:p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постановлением администрации                                        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sz w:val="28"/>
        </w:rPr>
        <w:t>Крапивинского муниципального округа</w:t>
      </w:r>
    </w:p>
    <w:p w14:paraId="06000000">
      <w:pPr>
        <w:widowControl w:val="0"/>
        <w:ind/>
        <w:jc w:val="right"/>
        <w:rPr>
          <w:sz w:val="28"/>
        </w:rPr>
      </w:pPr>
      <w:r>
        <w:rPr>
          <w:sz w:val="28"/>
        </w:rPr>
        <w:t>от ___________</w:t>
      </w:r>
      <w:r>
        <w:rPr>
          <w:sz w:val="28"/>
        </w:rPr>
        <w:t>_  №</w:t>
      </w:r>
      <w:r>
        <w:rPr>
          <w:sz w:val="28"/>
        </w:rPr>
        <w:t>______</w:t>
      </w:r>
    </w:p>
    <w:p w14:paraId="07000000">
      <w:pPr>
        <w:widowControl w:val="0"/>
        <w:ind/>
        <w:jc w:val="right"/>
        <w:rPr>
          <w:sz w:val="28"/>
        </w:rPr>
      </w:pPr>
    </w:p>
    <w:p w14:paraId="08000000">
      <w:pPr>
        <w:widowControl w:val="0"/>
        <w:ind/>
        <w:jc w:val="center"/>
        <w:rPr>
          <w:b w:val="1"/>
          <w:sz w:val="28"/>
        </w:rPr>
      </w:pPr>
    </w:p>
    <w:p w14:paraId="09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Положение о специализированной службе по вопросам похоронного дела</w:t>
      </w:r>
      <w:r>
        <w:rPr>
          <w:b w:val="1"/>
          <w:sz w:val="28"/>
        </w:rPr>
        <w:t xml:space="preserve"> на территории Крапивинского</w:t>
      </w:r>
      <w:r>
        <w:rPr>
          <w:b w:val="1"/>
          <w:sz w:val="28"/>
        </w:rPr>
        <w:t xml:space="preserve"> муниципального округа</w:t>
      </w:r>
    </w:p>
    <w:p w14:paraId="0A000000">
      <w:pPr>
        <w:widowControl w:val="0"/>
        <w:ind/>
        <w:jc w:val="both"/>
        <w:rPr>
          <w:sz w:val="28"/>
        </w:rPr>
      </w:pPr>
    </w:p>
    <w:p w14:paraId="0B000000">
      <w:pPr>
        <w:pStyle w:val="Style_1"/>
        <w:widowControl w:val="0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Общие положения</w:t>
      </w:r>
    </w:p>
    <w:p w14:paraId="0C000000">
      <w:pPr>
        <w:pStyle w:val="Style_1"/>
        <w:widowControl w:val="0"/>
        <w:ind/>
        <w:rPr>
          <w:b w:val="1"/>
          <w:sz w:val="28"/>
        </w:rPr>
      </w:pPr>
    </w:p>
    <w:p w14:paraId="0D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1. Специализированная служба по вопросам похоронного дела (далее - специализированная служба), создаваемая органами местн</w:t>
      </w:r>
      <w:r>
        <w:rPr>
          <w:sz w:val="28"/>
        </w:rPr>
        <w:t>ого самоуправления Крапивинского</w:t>
      </w:r>
      <w:r>
        <w:rPr>
          <w:sz w:val="28"/>
        </w:rPr>
        <w:t xml:space="preserve"> муниципального округа в целях оказания гарантированного перечня услуг по погребению на безвозмездной основе.</w:t>
      </w:r>
    </w:p>
    <w:p w14:paraId="0E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1.1. Специализированной службой по вопросам похоронного дела                      </w:t>
      </w:r>
      <w:r>
        <w:rPr>
          <w:sz w:val="28"/>
        </w:rPr>
        <w:t xml:space="preserve">на территории Крапивинского </w:t>
      </w:r>
      <w:r>
        <w:rPr>
          <w:sz w:val="28"/>
        </w:rPr>
        <w:t xml:space="preserve">муниципального округа, на которую возлагаются полномочия по исполнению гарантий погребения </w:t>
      </w:r>
      <w:r>
        <w:rPr>
          <w:sz w:val="28"/>
        </w:rPr>
        <w:t xml:space="preserve">умерших,   </w:t>
      </w:r>
      <w:r>
        <w:rPr>
          <w:sz w:val="28"/>
        </w:rPr>
        <w:t xml:space="preserve">                с учетом их волеизъявления и обязанность по оказанию гарантированного перечня услуг по погребению на безвозмездной основе, является </w:t>
      </w:r>
      <w:r>
        <w:rPr>
          <w:sz w:val="28"/>
        </w:rPr>
        <w:t>муниципальное казенное учреждение «Территориальное управление администрации Крапивинского муниципального округа</w:t>
      </w:r>
      <w:r>
        <w:rPr>
          <w:sz w:val="28"/>
        </w:rPr>
        <w:t>».</w:t>
      </w:r>
    </w:p>
    <w:p w14:paraId="0F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2. Специализированная служба в своей деятельности руководствуется Федеральным законом Российской Федерации от 12.01.1</w:t>
      </w:r>
      <w:r>
        <w:rPr>
          <w:sz w:val="28"/>
        </w:rPr>
        <w:t xml:space="preserve">996 № 8-ФЗ  </w:t>
      </w:r>
      <w:r>
        <w:rPr>
          <w:sz w:val="28"/>
        </w:rPr>
        <w:t>«О погребении и похоронном деле», Федеральным законо</w:t>
      </w:r>
      <w:r>
        <w:rPr>
          <w:sz w:val="28"/>
        </w:rPr>
        <w:t xml:space="preserve">м от 06.10.2003 </w:t>
      </w:r>
      <w:r>
        <w:rPr>
          <w:sz w:val="28"/>
        </w:rPr>
        <w:t>№ 131-ФЗ «Об общих принципах организации местного сам</w:t>
      </w:r>
      <w:r>
        <w:rPr>
          <w:sz w:val="28"/>
        </w:rPr>
        <w:t xml:space="preserve">оуправления </w:t>
      </w:r>
      <w:r>
        <w:rPr>
          <w:sz w:val="28"/>
        </w:rPr>
        <w:t xml:space="preserve">в Российской Федерации», </w:t>
      </w:r>
      <w:r>
        <w:rPr>
          <w:sz w:val="28"/>
        </w:rPr>
        <w:t xml:space="preserve">Федеральным законом от 20.03.2025 № 33-ФЗ «Об общих принципах организации местного самоуправления в единой </w:t>
      </w:r>
      <w:r>
        <w:rPr>
          <w:sz w:val="28"/>
        </w:rPr>
        <w:t xml:space="preserve">системе публичной власти», </w:t>
      </w:r>
      <w:r>
        <w:rPr>
          <w:sz w:val="28"/>
        </w:rPr>
        <w:t>Законом Кемеровской обл</w:t>
      </w:r>
      <w:r>
        <w:rPr>
          <w:sz w:val="28"/>
        </w:rPr>
        <w:t xml:space="preserve">асти  от 07.12.2018 </w:t>
      </w:r>
      <w:r>
        <w:rPr>
          <w:sz w:val="28"/>
        </w:rPr>
        <w:t>№ 104-ОЗ «О некоторых вопросах в сфере погребения и похоронно</w:t>
      </w:r>
      <w:r>
        <w:rPr>
          <w:sz w:val="28"/>
        </w:rPr>
        <w:t xml:space="preserve">го дела в Кемеровской области», </w:t>
      </w:r>
      <w:r>
        <w:rPr>
          <w:sz w:val="28"/>
        </w:rPr>
        <w:t>Решением совета народных депутатов Крапивинского муниципального округа от 30.03.2026 № 120 «Об утверждении Положения о похоронном деле, об организации ритуальных услуг и мест захоронения на территории Крапивинского муниципального округа»</w:t>
      </w:r>
      <w:r>
        <w:rPr>
          <w:sz w:val="28"/>
        </w:rPr>
        <w:t xml:space="preserve"> и иными муниципальными правовыми актами.</w:t>
      </w:r>
    </w:p>
    <w:p w14:paraId="10000000">
      <w:pPr>
        <w:widowControl w:val="0"/>
        <w:ind/>
        <w:jc w:val="both"/>
        <w:rPr>
          <w:sz w:val="28"/>
        </w:rPr>
      </w:pPr>
    </w:p>
    <w:p w14:paraId="11000000">
      <w:pPr>
        <w:pStyle w:val="Style_1"/>
        <w:widowControl w:val="0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Полномочия специализированной службы</w:t>
      </w:r>
    </w:p>
    <w:p w14:paraId="12000000">
      <w:pPr>
        <w:pStyle w:val="Style_1"/>
        <w:widowControl w:val="0"/>
        <w:ind/>
        <w:rPr>
          <w:b w:val="1"/>
          <w:sz w:val="28"/>
        </w:rPr>
      </w:pPr>
    </w:p>
    <w:p w14:paraId="13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1. Оказание специализированной службой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</w:t>
      </w:r>
      <w:r>
        <w:rPr>
          <w:sz w:val="28"/>
        </w:rPr>
        <w:t xml:space="preserve">щего перечня </w:t>
      </w:r>
      <w:r>
        <w:rPr>
          <w:sz w:val="28"/>
        </w:rPr>
        <w:t xml:space="preserve">услуг </w:t>
      </w:r>
      <w:r>
        <w:rPr>
          <w:sz w:val="28"/>
        </w:rPr>
        <w:t xml:space="preserve"> по</w:t>
      </w:r>
      <w:r>
        <w:rPr>
          <w:sz w:val="28"/>
        </w:rPr>
        <w:t xml:space="preserve"> погребению:</w:t>
      </w:r>
    </w:p>
    <w:p w14:paraId="14000000">
      <w:pPr>
        <w:widowControl w:val="0"/>
        <w:ind/>
        <w:jc w:val="both"/>
        <w:rPr>
          <w:sz w:val="28"/>
        </w:rPr>
      </w:pPr>
      <w:r>
        <w:rPr>
          <w:sz w:val="28"/>
        </w:rPr>
        <w:t>1) оформление документов, необходимых для погребения;</w:t>
      </w:r>
    </w:p>
    <w:p w14:paraId="15000000">
      <w:pPr>
        <w:widowControl w:val="0"/>
        <w:ind/>
        <w:jc w:val="both"/>
        <w:rPr>
          <w:sz w:val="28"/>
        </w:rPr>
      </w:pPr>
      <w:r>
        <w:rPr>
          <w:sz w:val="28"/>
        </w:rPr>
        <w:t>2) предоставление и доставка гроба и других предметов, необходимых       для погребения;</w:t>
      </w:r>
    </w:p>
    <w:p w14:paraId="16000000">
      <w:pPr>
        <w:widowControl w:val="0"/>
        <w:ind/>
        <w:jc w:val="both"/>
        <w:rPr>
          <w:sz w:val="28"/>
        </w:rPr>
      </w:pPr>
      <w:r>
        <w:rPr>
          <w:sz w:val="28"/>
        </w:rPr>
        <w:t>3) перевозка тела (останков) умершего на кладбище;</w:t>
      </w:r>
    </w:p>
    <w:p w14:paraId="17000000">
      <w:pPr>
        <w:widowControl w:val="0"/>
        <w:ind/>
        <w:jc w:val="both"/>
        <w:rPr>
          <w:sz w:val="28"/>
        </w:rPr>
      </w:pPr>
      <w:r>
        <w:rPr>
          <w:sz w:val="28"/>
        </w:rPr>
        <w:t>4) погребение.</w:t>
      </w:r>
    </w:p>
    <w:p w14:paraId="18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Гарантированный перечень услуг по погребению, определен</w:t>
      </w:r>
      <w:r>
        <w:rPr>
          <w:sz w:val="28"/>
        </w:rPr>
        <w:t xml:space="preserve"> </w:t>
      </w:r>
      <w:r>
        <w:rPr>
          <w:sz w:val="28"/>
        </w:rPr>
        <w:t>Решением совета народных депутатов Крапивинского муниципального округа от 30.03.2026 № 120 «Об утверждении Положения о похоронном деле, об организации ритуальных услуг и мест захоронения на территории Крапивинского муниципального округа»</w:t>
      </w:r>
      <w:r>
        <w:rPr>
          <w:sz w:val="28"/>
        </w:rPr>
        <w:t>.</w:t>
      </w:r>
    </w:p>
    <w:p w14:paraId="19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2.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           в течение трех суток с момента установления причины смерти, если иное             не предусмотрено законодательством Российской Федерации.</w:t>
      </w:r>
    </w:p>
    <w:p w14:paraId="1A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3. 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кладбищ.</w:t>
      </w:r>
    </w:p>
    <w:p w14:paraId="1B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4. Услуги, оказываемые специализированной службой по вопросам похоронного дела при погребении умерших, указанных в пунктах 2                            и 3 настоящего Положения, включают:</w:t>
      </w:r>
    </w:p>
    <w:p w14:paraId="1C000000">
      <w:pPr>
        <w:widowControl w:val="0"/>
        <w:ind/>
        <w:jc w:val="both"/>
        <w:rPr>
          <w:sz w:val="28"/>
        </w:rPr>
      </w:pPr>
      <w:r>
        <w:rPr>
          <w:sz w:val="28"/>
        </w:rPr>
        <w:t>1) оформление документов, необходимых для погребения;</w:t>
      </w:r>
    </w:p>
    <w:p w14:paraId="1D000000">
      <w:pPr>
        <w:widowControl w:val="0"/>
        <w:ind/>
        <w:jc w:val="both"/>
        <w:rPr>
          <w:sz w:val="28"/>
        </w:rPr>
      </w:pPr>
      <w:r>
        <w:rPr>
          <w:sz w:val="28"/>
        </w:rPr>
        <w:t>2) облачение тела;</w:t>
      </w:r>
    </w:p>
    <w:p w14:paraId="1E000000">
      <w:pPr>
        <w:widowControl w:val="0"/>
        <w:ind/>
        <w:jc w:val="both"/>
        <w:rPr>
          <w:sz w:val="28"/>
        </w:rPr>
      </w:pPr>
      <w:r>
        <w:rPr>
          <w:sz w:val="28"/>
        </w:rPr>
        <w:t>3) предоставление гроба;</w:t>
      </w:r>
    </w:p>
    <w:p w14:paraId="1F000000">
      <w:pPr>
        <w:widowControl w:val="0"/>
        <w:ind/>
        <w:jc w:val="both"/>
        <w:rPr>
          <w:sz w:val="28"/>
        </w:rPr>
      </w:pPr>
      <w:r>
        <w:rPr>
          <w:sz w:val="28"/>
        </w:rPr>
        <w:t>4) перевозку умершего на кладбище;</w:t>
      </w:r>
    </w:p>
    <w:p w14:paraId="20000000">
      <w:pPr>
        <w:widowControl w:val="0"/>
        <w:ind/>
        <w:jc w:val="both"/>
        <w:rPr>
          <w:sz w:val="28"/>
        </w:rPr>
      </w:pPr>
      <w:r>
        <w:rPr>
          <w:sz w:val="28"/>
        </w:rPr>
        <w:t>5) погребение.</w:t>
      </w:r>
    </w:p>
    <w:p w14:paraId="21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>Стоимость указанных услуг оп</w:t>
      </w:r>
      <w:r>
        <w:rPr>
          <w:sz w:val="28"/>
        </w:rPr>
        <w:t xml:space="preserve">ределяется нормативным </w:t>
      </w:r>
      <w:r>
        <w:rPr>
          <w:sz w:val="28"/>
        </w:rPr>
        <w:t xml:space="preserve">правовым </w:t>
      </w:r>
      <w:r>
        <w:rPr>
          <w:sz w:val="28"/>
        </w:rPr>
        <w:t xml:space="preserve"> администрации</w:t>
      </w:r>
      <w:r>
        <w:rPr>
          <w:sz w:val="28"/>
        </w:rPr>
        <w:t xml:space="preserve">  Крапивинского муниципального округа </w:t>
      </w:r>
      <w:r>
        <w:rPr>
          <w:sz w:val="28"/>
        </w:rPr>
        <w:t>и возмещается                     в порядке, предусмотренном пунктом 3 статьи 9 Федерального закона                        от 12.01.1996  № 8-ФЗ «О погребении и похоронном деле».</w:t>
      </w:r>
    </w:p>
    <w:p w14:paraId="22000000">
      <w:pPr>
        <w:widowControl w:val="0"/>
        <w:ind/>
        <w:jc w:val="both"/>
        <w:rPr>
          <w:sz w:val="28"/>
        </w:rPr>
      </w:pPr>
    </w:p>
    <w:p w14:paraId="23000000">
      <w:pPr>
        <w:pStyle w:val="Style_1"/>
        <w:widowControl w:val="0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Требования к организации детальности специализированной службы</w:t>
      </w:r>
    </w:p>
    <w:p w14:paraId="24000000">
      <w:pPr>
        <w:pStyle w:val="Style_1"/>
        <w:widowControl w:val="0"/>
        <w:ind/>
        <w:rPr>
          <w:b w:val="1"/>
          <w:sz w:val="28"/>
        </w:rPr>
      </w:pPr>
    </w:p>
    <w:p w14:paraId="25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1. Специализированная служба обязана соблюдать требования законодательства Российской Федерации, законов Кемеровской области - Кузбасса и муниципальных правовых актов в сфере погребения и похоронного дела, в том числе:</w:t>
      </w:r>
    </w:p>
    <w:p w14:paraId="26000000">
      <w:pPr>
        <w:widowControl w:val="0"/>
        <w:ind/>
        <w:jc w:val="both"/>
        <w:rPr>
          <w:sz w:val="28"/>
        </w:rPr>
      </w:pPr>
      <w:r>
        <w:rPr>
          <w:sz w:val="28"/>
        </w:rPr>
        <w:t>- государственные гарантии по предоставлению гарантированного перечня услуг по погребению на безвозмездной основе;</w:t>
      </w:r>
    </w:p>
    <w:p w14:paraId="27000000">
      <w:pPr>
        <w:widowControl w:val="0"/>
        <w:ind/>
        <w:jc w:val="both"/>
        <w:rPr>
          <w:sz w:val="28"/>
        </w:rPr>
      </w:pPr>
      <w:r>
        <w:rPr>
          <w:sz w:val="28"/>
        </w:rPr>
        <w:t>- требования к качеству оказания услуг, входящих в гарантированный перечень услуг по погребению.</w:t>
      </w:r>
    </w:p>
    <w:p w14:paraId="28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2. Отказ специализированной службы по вопросам похоронного дела           </w:t>
      </w:r>
      <w:r>
        <w:rPr>
          <w:sz w:val="28"/>
        </w:rPr>
        <w:t>в оказании гарантированного перечня услуг в связи с отсутствием у них необходимых средств или по другим основаниям недопустим.</w:t>
      </w:r>
    </w:p>
    <w:p w14:paraId="29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3. Специализированная служба не вправе:</w:t>
      </w:r>
    </w:p>
    <w:p w14:paraId="2A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1) препятствовать в осуществлении погребения (в том числе путем придания умершего земле) лицам, осуществляющим волеизъявление умершего, а также действующим от имени и по поручению супруга умершего, близких родственников, иных родственников, законных представителей, иных лиц, взявших на себя обязанности осуществить погребение умершего;</w:t>
      </w:r>
    </w:p>
    <w:p w14:paraId="2B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2) обязывать (понуждать) приобретать у специализированной службы ритуальные услуги, в том числе на платной основе услуги, входящие                  в гарантированный перечень услуг по погребению.</w:t>
      </w:r>
    </w:p>
    <w:p w14:paraId="2C000000">
      <w:pPr>
        <w:widowControl w:val="0"/>
        <w:ind/>
        <w:jc w:val="both"/>
        <w:rPr>
          <w:sz w:val="28"/>
        </w:rPr>
      </w:pPr>
    </w:p>
    <w:p w14:paraId="2D000000">
      <w:pPr>
        <w:pStyle w:val="Style_1"/>
        <w:widowControl w:val="0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Основные требования к порядку деятельности специализированной службы</w:t>
      </w:r>
    </w:p>
    <w:p w14:paraId="2E000000">
      <w:pPr>
        <w:widowControl w:val="0"/>
        <w:ind w:left="360"/>
        <w:rPr>
          <w:b w:val="1"/>
          <w:sz w:val="28"/>
        </w:rPr>
      </w:pPr>
    </w:p>
    <w:p w14:paraId="2F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1. Прием заказа на оказание гарантированного перечня услуг                      по погребению осуществляется работником специализированной службы по месту расположения приема заказов специализированной службы.</w:t>
      </w:r>
    </w:p>
    <w:p w14:paraId="30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2. Сотрудник специализированной службы оказывает консультативную помощь лицу, обратившемуся в специализированную службу:</w:t>
      </w:r>
    </w:p>
    <w:p w14:paraId="31000000">
      <w:pPr>
        <w:widowControl w:val="0"/>
        <w:ind/>
        <w:jc w:val="both"/>
        <w:rPr>
          <w:sz w:val="28"/>
        </w:rPr>
      </w:pPr>
      <w:r>
        <w:rPr>
          <w:sz w:val="28"/>
        </w:rPr>
        <w:t>- по порядку оказания гарантированного перечня услуг по погребению;</w:t>
      </w:r>
    </w:p>
    <w:p w14:paraId="32000000">
      <w:pPr>
        <w:widowControl w:val="0"/>
        <w:ind/>
        <w:jc w:val="both"/>
        <w:rPr>
          <w:sz w:val="28"/>
        </w:rPr>
      </w:pPr>
      <w:r>
        <w:rPr>
          <w:sz w:val="28"/>
        </w:rPr>
        <w:t>- по правилам работы кладбищ;</w:t>
      </w:r>
    </w:p>
    <w:p w14:paraId="33000000">
      <w:pPr>
        <w:widowControl w:val="0"/>
        <w:ind/>
        <w:jc w:val="both"/>
        <w:rPr>
          <w:sz w:val="28"/>
        </w:rPr>
      </w:pPr>
      <w:r>
        <w:rPr>
          <w:sz w:val="28"/>
        </w:rPr>
        <w:t>- по порядку предоставления и размерам социального пособия                           на погребение и единовременной материальной помощи, выплачиваемой гражданам в соответствии с законодательством Российской Федерации в сфере погребения и похоронного дела.</w:t>
      </w:r>
    </w:p>
    <w:p w14:paraId="34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3. Сотрудник специализированной службы оформляет документы, необходимые для погребения.</w:t>
      </w:r>
    </w:p>
    <w:p w14:paraId="35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4. Специализированная служба должна иметь:</w:t>
      </w:r>
    </w:p>
    <w:p w14:paraId="36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1) на праве собственности, аренды или другом законном основании специально оборудованные помещения, обеспечивающие надлежащие условия приема заказов на оказание гарантированного перечня услуг по погребению;</w:t>
      </w:r>
    </w:p>
    <w:p w14:paraId="37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2) вывеску со следующей информацией: наименование организации, указание на место ее нахождения (юридический адрес), а также режим работы.</w:t>
      </w:r>
    </w:p>
    <w:p w14:paraId="38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5. В помещении специализированной службы, где осуществляется прием заказов на оказание гарантированного перечня услуг по погребению, должна находиться в доступном для обозрения месте следующая обязательная информация:</w:t>
      </w:r>
    </w:p>
    <w:p w14:paraId="39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1) Федеральный закон от 12.01.1996 № 8-ФЗ «О погребении и похоронном деле»;</w:t>
      </w:r>
    </w:p>
    <w:p w14:paraId="3A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2) Указ Президента РФ от 29.06.1996 № 1001 «О гарантиях прав граждан на предоставление услуг по погребению умерших»;</w:t>
      </w:r>
    </w:p>
    <w:p w14:paraId="3B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3) Закон Российской Федерации от 07.02.1992 № 2300-1 «О защите </w:t>
      </w:r>
      <w:r>
        <w:rPr>
          <w:sz w:val="28"/>
        </w:rPr>
        <w:t>прав потребителей»;</w:t>
      </w:r>
    </w:p>
    <w:p w14:paraId="3C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 </w:t>
      </w:r>
      <w:r>
        <w:rPr>
          <w:sz w:val="28"/>
        </w:rPr>
        <w:t>4) гарантированный перечень по погребению;</w:t>
      </w:r>
    </w:p>
    <w:p w14:paraId="3D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5) образцы (модели) изготавливаемых и реализуемых предметов похоронного назначения, используемых для оказания гарантированного перечня услуг по погребению, либо их фотографии;</w:t>
      </w:r>
    </w:p>
    <w:p w14:paraId="3E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6) прейскурант на ритуальные услуги и предметы ритуального назначения;</w:t>
      </w:r>
    </w:p>
    <w:p w14:paraId="3F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7) сведения о наличии санитарно-эпидемиологических заключений               о предметах и вещах, используемых при погребении (гробы, венки, надгробные памятники и т.д.);</w:t>
      </w:r>
    </w:p>
    <w:p w14:paraId="40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8) Правила захоронения и содержания кладбищ.</w:t>
      </w:r>
    </w:p>
    <w:p w14:paraId="41000000">
      <w:pPr>
        <w:widowControl w:val="0"/>
        <w:ind/>
        <w:jc w:val="both"/>
        <w:rPr>
          <w:sz w:val="28"/>
        </w:rPr>
      </w:pPr>
    </w:p>
    <w:p w14:paraId="42000000">
      <w:pPr>
        <w:pStyle w:val="Style_1"/>
        <w:widowControl w:val="0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Ответственность специализированной службы</w:t>
      </w:r>
    </w:p>
    <w:p w14:paraId="43000000">
      <w:pPr>
        <w:pStyle w:val="Style_1"/>
        <w:widowControl w:val="0"/>
        <w:ind/>
        <w:rPr>
          <w:b w:val="1"/>
          <w:sz w:val="28"/>
        </w:rPr>
      </w:pPr>
    </w:p>
    <w:p w14:paraId="44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За неисполнение либо ненадлежащее исполнение требований законодательства Российской Федерации, Законов Кемеровской области-Кузбасса и муниципальных правовых актов в сфере погребения и похоронного дела специализированная служба несет ответственно</w:t>
      </w:r>
      <w:r>
        <w:rPr>
          <w:sz w:val="28"/>
        </w:rPr>
        <w:t xml:space="preserve">сть в соответствии   </w:t>
      </w:r>
      <w:r>
        <w:rPr>
          <w:sz w:val="28"/>
        </w:rPr>
        <w:t xml:space="preserve"> с действующим законодательством.</w:t>
      </w:r>
    </w:p>
    <w:sectPr>
      <w:headerReference r:id="rId1" w:type="default"/>
      <w:pgSz w:h="16838" w:orient="portrait" w:w="11906"/>
      <w:pgMar w:bottom="567" w:footer="709" w:gutter="0" w:header="709" w:left="1985" w:right="1134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ody Text"/>
    <w:basedOn w:val="Style_2"/>
    <w:link w:val="Style_7_ch"/>
    <w:pPr>
      <w:widowControl w:val="1"/>
      <w:ind/>
      <w:jc w:val="both"/>
    </w:pPr>
  </w:style>
  <w:style w:styleId="Style_7_ch" w:type="character">
    <w:name w:val="Body Text"/>
    <w:basedOn w:val="Style_2_ch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ConsPlusTitle"/>
    <w:link w:val="Style_11_ch"/>
    <w:pPr>
      <w:widowControl w:val="0"/>
      <w:ind/>
    </w:pPr>
    <w:rPr>
      <w:b w:val="1"/>
      <w:sz w:val="22"/>
    </w:rPr>
  </w:style>
  <w:style w:styleId="Style_11_ch" w:type="character">
    <w:name w:val="ConsPlusTitle"/>
    <w:link w:val="Style_11"/>
    <w:rPr>
      <w:b w:val="1"/>
      <w:sz w:val="22"/>
    </w:rPr>
  </w:style>
  <w:style w:styleId="Style_12" w:type="paragraph">
    <w:name w:val="Гиперссылка2"/>
    <w:link w:val="Style_12_ch"/>
    <w:rPr>
      <w:color w:val="0000FF"/>
      <w:u w:val="single"/>
    </w:rPr>
  </w:style>
  <w:style w:styleId="Style_12_ch" w:type="character">
    <w:name w:val="Гиперссылка2"/>
    <w:link w:val="Style_12"/>
    <w:rPr>
      <w:color w:val="0000FF"/>
      <w:u w:val="single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3" w:type="paragraph">
    <w:name w:val="toc 3"/>
    <w:next w:val="Style_2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text"/>
    <w:basedOn w:val="Style_2"/>
    <w:link w:val="Style_14_ch"/>
    <w:pPr>
      <w:widowControl w:val="1"/>
      <w:spacing w:afterAutospacing="on" w:beforeAutospacing="on"/>
      <w:ind/>
    </w:pPr>
  </w:style>
  <w:style w:styleId="Style_14_ch" w:type="character">
    <w:name w:val="text"/>
    <w:basedOn w:val="Style_2_ch"/>
    <w:link w:val="Style_14"/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1"/>
    <w:basedOn w:val="Style_2"/>
    <w:next w:val="Style_2"/>
    <w:link w:val="Style_17_ch"/>
    <w:uiPriority w:val="9"/>
    <w:qFormat/>
    <w:pPr>
      <w:keepNext w:val="1"/>
      <w:keepLines w:val="1"/>
      <w:widowControl w:val="1"/>
      <w:spacing w:before="480" w:line="276" w:lineRule="auto"/>
      <w:ind/>
      <w:outlineLvl w:val="0"/>
    </w:pPr>
    <w:rPr>
      <w:rFonts w:ascii="Cambria" w:hAnsi="Cambria"/>
      <w:b w:val="1"/>
      <w:color w:val="365F91"/>
      <w:sz w:val="28"/>
    </w:rPr>
  </w:style>
  <w:style w:styleId="Style_17_ch" w:type="character">
    <w:name w:val="heading 1"/>
    <w:basedOn w:val="Style_2_ch"/>
    <w:link w:val="Style_17"/>
    <w:rPr>
      <w:rFonts w:ascii="Cambria" w:hAnsi="Cambria"/>
      <w:b w:val="1"/>
      <w:color w:val="365F91"/>
      <w:sz w:val="28"/>
    </w:rPr>
  </w:style>
  <w:style w:styleId="Style_18" w:type="paragraph">
    <w:name w:val="ConsPlusNormal"/>
    <w:link w:val="Style_18_ch"/>
    <w:rPr>
      <w:rFonts w:ascii="Arial" w:hAnsi="Arial"/>
    </w:rPr>
  </w:style>
  <w:style w:styleId="Style_18_ch" w:type="character">
    <w:name w:val="ConsPlusNormal"/>
    <w:link w:val="Style_18"/>
    <w:rPr>
      <w:rFonts w:ascii="Arial" w:hAnsi="Arial"/>
    </w:rPr>
  </w:style>
  <w:style w:styleId="Style_19" w:type="paragraph">
    <w:name w:val="No Spacing"/>
    <w:link w:val="Style_19_ch"/>
    <w:rPr>
      <w:rFonts w:asciiTheme="minorAscii" w:hAnsiTheme="minorHAnsi"/>
      <w:sz w:val="22"/>
    </w:rPr>
  </w:style>
  <w:style w:styleId="Style_19_ch" w:type="character">
    <w:name w:val="No Spacing"/>
    <w:link w:val="Style_19"/>
    <w:rPr>
      <w:rFonts w:asciiTheme="minorAscii" w:hAnsiTheme="minorHAnsi"/>
      <w:sz w:val="2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basedOn w:val="Style_2"/>
    <w:link w:val="Style_21_ch"/>
    <w:rPr>
      <w:rFonts w:ascii="Calibri" w:hAnsi="Calibri"/>
      <w:sz w:val="20"/>
    </w:rPr>
  </w:style>
  <w:style w:styleId="Style_21_ch" w:type="character">
    <w:name w:val="Footnote"/>
    <w:basedOn w:val="Style_2_ch"/>
    <w:link w:val="Style_21"/>
    <w:rPr>
      <w:rFonts w:ascii="Calibri" w:hAnsi="Calibri"/>
      <w:sz w:val="20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footer"/>
    <w:basedOn w:val="Style_2"/>
    <w:link w:val="Style_23_ch"/>
    <w:pPr>
      <w:widowControl w:val="1"/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2_ch"/>
    <w:link w:val="Style_23"/>
  </w:style>
  <w:style w:styleId="Style_24" w:type="paragraph">
    <w:name w:val="Основной шрифт абзаца2"/>
    <w:link w:val="Style_24_ch"/>
  </w:style>
  <w:style w:styleId="Style_24_ch" w:type="character">
    <w:name w:val="Основной шрифт абзаца2"/>
    <w:link w:val="Style_24"/>
  </w:style>
  <w:style w:styleId="Style_25" w:type="paragraph">
    <w:name w:val="Header and Footer"/>
    <w:link w:val="Style_25_ch"/>
    <w:pPr>
      <w:widowControl w:val="1"/>
      <w:ind/>
      <w:jc w:val="both"/>
    </w:pPr>
    <w:rPr>
      <w:rFonts w:ascii="XO Thames" w:hAnsi="XO Thames"/>
    </w:rPr>
  </w:style>
  <w:style w:styleId="Style_25_ch" w:type="character">
    <w:name w:val="Header and Footer"/>
    <w:link w:val="Style_25"/>
    <w:rPr>
      <w:rFonts w:ascii="XO Thames" w:hAnsi="XO Thames"/>
    </w:rPr>
  </w:style>
  <w:style w:styleId="Style_26" w:type="paragraph">
    <w:name w:val="toc 9"/>
    <w:next w:val="Style_2"/>
    <w:link w:val="Style_26_ch"/>
    <w:uiPriority w:val="39"/>
    <w:pPr>
      <w:widowControl w:val="1"/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Строгий1"/>
    <w:link w:val="Style_27_ch"/>
    <w:rPr>
      <w:b w:val="1"/>
    </w:rPr>
  </w:style>
  <w:style w:styleId="Style_27_ch" w:type="character">
    <w:name w:val="Строгий1"/>
    <w:link w:val="Style_27"/>
    <w:rPr>
      <w:b w:val="1"/>
    </w:rPr>
  </w:style>
  <w:style w:styleId="Style_28" w:type="paragraph">
    <w:name w:val="standardcxspmiddle"/>
    <w:basedOn w:val="Style_2"/>
    <w:link w:val="Style_28_ch"/>
    <w:pPr>
      <w:widowControl w:val="1"/>
      <w:spacing w:afterAutospacing="on" w:beforeAutospacing="on"/>
      <w:ind/>
    </w:pPr>
  </w:style>
  <w:style w:styleId="Style_28_ch" w:type="character">
    <w:name w:val="standardcxspmiddle"/>
    <w:basedOn w:val="Style_2_ch"/>
    <w:link w:val="Style_28"/>
  </w:style>
  <w:style w:styleId="Style_29" w:type="paragraph">
    <w:name w:val="toc 8"/>
    <w:next w:val="Style_2"/>
    <w:link w:val="Style_29_ch"/>
    <w:uiPriority w:val="39"/>
    <w:pPr>
      <w:widowControl w:val="1"/>
      <w:ind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Знак сноски1"/>
    <w:link w:val="Style_31_ch"/>
    <w:rPr>
      <w:vertAlign w:val="superscript"/>
    </w:rPr>
  </w:style>
  <w:style w:styleId="Style_31_ch" w:type="character">
    <w:name w:val="Знак сноски1"/>
    <w:link w:val="Style_31"/>
    <w:rPr>
      <w:vertAlign w:val="superscript"/>
    </w:rPr>
  </w:style>
  <w:style w:styleId="Style_32" w:type="paragraph">
    <w:name w:val="toc 5"/>
    <w:next w:val="Style_2"/>
    <w:link w:val="Style_32_ch"/>
    <w:uiPriority w:val="39"/>
    <w:pPr>
      <w:widowControl w:val="1"/>
      <w:ind w:left="800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Normal (Web)"/>
    <w:basedOn w:val="Style_2"/>
    <w:link w:val="Style_33_ch"/>
    <w:pPr>
      <w:widowControl w:val="1"/>
      <w:spacing w:afterAutospacing="on" w:beforeAutospacing="on"/>
      <w:ind/>
    </w:pPr>
  </w:style>
  <w:style w:styleId="Style_33_ch" w:type="character">
    <w:name w:val="Normal (Web)"/>
    <w:basedOn w:val="Style_2_ch"/>
    <w:link w:val="Style_33"/>
  </w:style>
  <w:style w:styleId="Style_34" w:type="paragraph">
    <w:name w:val="Абзац списка1"/>
    <w:basedOn w:val="Style_2"/>
    <w:link w:val="Style_34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4_ch" w:type="character">
    <w:name w:val="Абзац списка1"/>
    <w:basedOn w:val="Style_2_ch"/>
    <w:link w:val="Style_34"/>
    <w:rPr>
      <w:rFonts w:ascii="Calibri" w:hAnsi="Calibri"/>
      <w:sz w:val="22"/>
    </w:rPr>
  </w:style>
  <w:style w:styleId="Style_35" w:type="paragraph">
    <w:name w:val="layout"/>
    <w:basedOn w:val="Style_10"/>
    <w:link w:val="Style_35_ch"/>
  </w:style>
  <w:style w:styleId="Style_35_ch" w:type="character">
    <w:name w:val="layout"/>
    <w:basedOn w:val="Style_10_ch"/>
    <w:link w:val="Style_35"/>
  </w:style>
  <w:style w:styleId="Style_36" w:type="paragraph">
    <w:name w:val="header"/>
    <w:basedOn w:val="Style_2"/>
    <w:link w:val="Style_36_ch"/>
    <w:pPr>
      <w:widowControl w:val="1"/>
      <w:tabs>
        <w:tab w:leader="none" w:pos="4677" w:val="center"/>
        <w:tab w:leader="none" w:pos="9355" w:val="right"/>
      </w:tabs>
      <w:ind/>
    </w:pPr>
  </w:style>
  <w:style w:styleId="Style_36_ch" w:type="character">
    <w:name w:val="header"/>
    <w:basedOn w:val="Style_2_ch"/>
    <w:link w:val="Style_36"/>
  </w:style>
  <w:style w:styleId="Style_37" w:type="paragraph">
    <w:name w:val="Subtitle"/>
    <w:next w:val="Style_2"/>
    <w:link w:val="Style_3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Обычный1"/>
    <w:link w:val="Style_38_ch"/>
    <w:rPr>
      <w:rFonts w:ascii="Times New Roman" w:hAnsi="Times New Roman"/>
      <w:sz w:val="24"/>
    </w:rPr>
  </w:style>
  <w:style w:styleId="Style_38_ch" w:type="character">
    <w:name w:val="Обычный1"/>
    <w:link w:val="Style_38"/>
    <w:rPr>
      <w:rFonts w:ascii="Times New Roman" w:hAnsi="Times New Roman"/>
      <w:sz w:val="24"/>
    </w:rPr>
  </w:style>
  <w:style w:styleId="Style_39" w:type="paragraph">
    <w:name w:val="Title"/>
    <w:next w:val="Style_2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2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Обычный1"/>
    <w:link w:val="Style_41_ch"/>
    <w:rPr>
      <w:rFonts w:ascii="Times New Roman" w:hAnsi="Times New Roman"/>
      <w:sz w:val="24"/>
    </w:rPr>
  </w:style>
  <w:style w:styleId="Style_41_ch" w:type="character">
    <w:name w:val="Обычный1"/>
    <w:link w:val="Style_41"/>
    <w:rPr>
      <w:rFonts w:ascii="Times New Roman" w:hAnsi="Times New Roman"/>
      <w:sz w:val="24"/>
    </w:rPr>
  </w:style>
  <w:style w:styleId="Style_42" w:type="paragraph">
    <w:name w:val="heading 2"/>
    <w:basedOn w:val="Style_2"/>
    <w:link w:val="Style_42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42_ch" w:type="character">
    <w:name w:val="heading 2"/>
    <w:basedOn w:val="Style_2_ch"/>
    <w:link w:val="Style_42"/>
    <w:rPr>
      <w:b w:val="1"/>
      <w:sz w:val="36"/>
    </w:rPr>
  </w:style>
  <w:style w:styleId="Style_43" w:type="paragraph">
    <w:name w:val="Balloon Text"/>
    <w:basedOn w:val="Style_2"/>
    <w:link w:val="Style_43_ch"/>
    <w:rPr>
      <w:rFonts w:ascii="Tahoma" w:hAnsi="Tahoma"/>
      <w:sz w:val="16"/>
    </w:rPr>
  </w:style>
  <w:style w:styleId="Style_43_ch" w:type="character">
    <w:name w:val="Balloon Text"/>
    <w:basedOn w:val="Style_2_ch"/>
    <w:link w:val="Style_43"/>
    <w:rPr>
      <w:rFonts w:ascii="Tahoma" w:hAnsi="Tahoma"/>
      <w:sz w:val="16"/>
    </w:rPr>
  </w:style>
  <w:style w:default="1" w:styleId="Style_4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" w:type="table">
    <w:name w:val="Table Grid"/>
    <w:basedOn w:val="Style_44"/>
    <w:rPr>
      <w:rFonts w:asciiTheme="minorAscii" w:hAnsiTheme="minorHAns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2026-05-05T09:31:00Z</dcterms:created>
  <dcterms:modified xsi:type="dcterms:W3CDTF">2026-10-23T04:09:11Z</dcterms:modified>
</cp:coreProperties>
</file>