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hanging="7020" w:left="7020" w:right="-5"/>
        <w:jc w:val="right"/>
        <w:rPr>
          <w:sz w:val="24"/>
        </w:rPr>
      </w:pPr>
      <w:r>
        <w:rPr>
          <w:sz w:val="24"/>
        </w:rPr>
        <w:t xml:space="preserve">Приложение </w:t>
      </w:r>
    </w:p>
    <w:p w14:paraId="02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к постановлению администрации</w:t>
      </w:r>
    </w:p>
    <w:p w14:paraId="03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Крапивинского муниципального </w:t>
      </w:r>
      <w:r>
        <w:rPr>
          <w:sz w:val="24"/>
        </w:rPr>
        <w:t>округа</w:t>
      </w:r>
    </w:p>
    <w:p w14:paraId="04000000">
      <w:pPr>
        <w:widowControl w:val="1"/>
        <w:tabs>
          <w:tab w:leader="none" w:pos="5250" w:val="left"/>
        </w:tabs>
        <w:ind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>от _________№ __________</w:t>
      </w:r>
    </w:p>
    <w:p w14:paraId="05000000">
      <w:pPr>
        <w:widowControl w:val="1"/>
        <w:tabs>
          <w:tab w:leader="none" w:pos="5250" w:val="left"/>
        </w:tabs>
        <w:ind w:left="360"/>
        <w:jc w:val="both"/>
        <w:rPr>
          <w:sz w:val="24"/>
        </w:rPr>
      </w:pPr>
    </w:p>
    <w:p w14:paraId="0600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</w:p>
    <w:p w14:paraId="0700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  <w:r>
        <w:rPr>
          <w:b w:val="1"/>
          <w:sz w:val="28"/>
        </w:rPr>
        <w:t>Состав территориальной комиссии</w:t>
      </w:r>
    </w:p>
    <w:p w14:paraId="0800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  <w:r>
        <w:rPr>
          <w:b w:val="1"/>
          <w:sz w:val="28"/>
        </w:rPr>
        <w:t xml:space="preserve"> по </w:t>
      </w:r>
      <w:r>
        <w:rPr>
          <w:b w:val="1"/>
          <w:sz w:val="28"/>
        </w:rPr>
        <w:t>контролю за</w:t>
      </w:r>
      <w:r>
        <w:rPr>
          <w:b w:val="1"/>
          <w:sz w:val="28"/>
        </w:rPr>
        <w:t xml:space="preserve"> подготовкой объектов жизнеобеспечения </w:t>
      </w:r>
    </w:p>
    <w:p w14:paraId="0900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  <w:r>
        <w:rPr>
          <w:b w:val="1"/>
          <w:sz w:val="28"/>
        </w:rPr>
        <w:t xml:space="preserve">к отопительному периоду </w:t>
      </w:r>
      <w:r>
        <w:rPr>
          <w:b w:val="1"/>
          <w:sz w:val="28"/>
        </w:rPr>
        <w:t>202</w:t>
      </w:r>
      <w:r>
        <w:rPr>
          <w:b w:val="1"/>
          <w:sz w:val="28"/>
        </w:rPr>
        <w:t>6</w:t>
      </w:r>
      <w:r>
        <w:rPr>
          <w:b w:val="1"/>
          <w:sz w:val="28"/>
        </w:rPr>
        <w:t>/202</w:t>
      </w:r>
      <w:r>
        <w:rPr>
          <w:b w:val="1"/>
          <w:sz w:val="28"/>
        </w:rPr>
        <w:t>7</w:t>
      </w:r>
      <w:r>
        <w:rPr>
          <w:b w:val="1"/>
          <w:sz w:val="28"/>
        </w:rPr>
        <w:t>гг.</w:t>
      </w:r>
    </w:p>
    <w:p w14:paraId="0A000000">
      <w:pPr>
        <w:widowControl w:val="1"/>
        <w:tabs>
          <w:tab w:leader="none" w:pos="5250" w:val="left"/>
        </w:tabs>
        <w:ind w:left="360"/>
        <w:jc w:val="center"/>
        <w:rPr>
          <w:b w:val="1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518"/>
        <w:gridCol w:w="7088"/>
      </w:tblGrid>
      <w:tr>
        <w:tc>
          <w:tcPr>
            <w:tcW w:type="dxa" w:w="2518"/>
            <w:shd w:fill="auto" w:val="clear"/>
          </w:tcPr>
          <w:p w14:paraId="0B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Н.Ф.Арнольд</w:t>
            </w:r>
            <w:r>
              <w:rPr>
                <w:sz w:val="27"/>
              </w:rPr>
              <w:t xml:space="preserve">         -</w:t>
            </w:r>
          </w:p>
        </w:tc>
        <w:tc>
          <w:tcPr>
            <w:tcW w:type="dxa" w:w="7088"/>
            <w:shd w:fill="auto" w:val="clear"/>
          </w:tcPr>
          <w:p w14:paraId="0C000000">
            <w:pPr>
              <w:widowControl w:val="1"/>
              <w:tabs>
                <w:tab w:leader="none" w:pos="5250" w:val="left"/>
              </w:tabs>
              <w:ind w:left="34"/>
              <w:jc w:val="both"/>
              <w:rPr>
                <w:sz w:val="27"/>
              </w:rPr>
            </w:pPr>
            <w:r>
              <w:rPr>
                <w:sz w:val="27"/>
              </w:rPr>
              <w:t>первый заместитель главы Крапивинского муниципального округа (по жилищно-коммунальному хозяйству, капитальному строительству и дорожному хозяйству)</w:t>
            </w:r>
            <w:r>
              <w:rPr>
                <w:sz w:val="27"/>
              </w:rPr>
              <w:t xml:space="preserve">, </w:t>
            </w:r>
            <w:r>
              <w:rPr>
                <w:sz w:val="27"/>
              </w:rPr>
              <w:t>председатель комиссии</w:t>
            </w:r>
            <w:r>
              <w:rPr>
                <w:sz w:val="27"/>
              </w:rPr>
              <w:t>;</w:t>
            </w:r>
          </w:p>
          <w:p w14:paraId="0D000000">
            <w:pPr>
              <w:widowControl w:val="1"/>
              <w:tabs>
                <w:tab w:leader="none" w:pos="5250" w:val="left"/>
              </w:tabs>
              <w:ind w:left="34"/>
              <w:jc w:val="both"/>
              <w:rPr>
                <w:sz w:val="27"/>
              </w:rPr>
            </w:pPr>
          </w:p>
        </w:tc>
      </w:tr>
      <w:tr>
        <w:tc>
          <w:tcPr>
            <w:tcW w:type="dxa" w:w="2518"/>
            <w:shd w:fill="auto" w:val="clear"/>
          </w:tcPr>
          <w:p w14:paraId="0E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Е.А.Голошумова</w:t>
            </w:r>
            <w:r>
              <w:rPr>
                <w:sz w:val="27"/>
              </w:rPr>
              <w:t xml:space="preserve"> </w:t>
            </w:r>
            <w:r>
              <w:rPr>
                <w:sz w:val="27"/>
              </w:rPr>
              <w:t xml:space="preserve">  -</w:t>
            </w:r>
            <w:r>
              <w:rPr>
                <w:sz w:val="27"/>
              </w:rPr>
              <w:t xml:space="preserve">     </w:t>
            </w:r>
          </w:p>
        </w:tc>
        <w:tc>
          <w:tcPr>
            <w:tcW w:type="dxa" w:w="7088"/>
            <w:shd w:fill="auto" w:val="clear"/>
          </w:tcPr>
          <w:p w14:paraId="0F000000">
            <w:pPr>
              <w:widowControl w:val="1"/>
              <w:tabs>
                <w:tab w:leader="none" w:pos="5250" w:val="left"/>
              </w:tabs>
              <w:ind w:left="34"/>
              <w:jc w:val="both"/>
              <w:rPr>
                <w:sz w:val="27"/>
              </w:rPr>
            </w:pPr>
            <w:r>
              <w:rPr>
                <w:sz w:val="27"/>
              </w:rPr>
              <w:t>заместитель главы Крапи</w:t>
            </w:r>
            <w:r>
              <w:rPr>
                <w:sz w:val="27"/>
              </w:rPr>
              <w:t xml:space="preserve">винского муниципального округа </w:t>
            </w:r>
            <w:r>
              <w:rPr>
                <w:sz w:val="27"/>
              </w:rPr>
              <w:t>(по социальным вопросам)</w:t>
            </w:r>
            <w:r>
              <w:rPr>
                <w:sz w:val="27"/>
              </w:rPr>
              <w:t xml:space="preserve">, </w:t>
            </w:r>
            <w:r>
              <w:rPr>
                <w:sz w:val="27"/>
              </w:rPr>
              <w:t>заместитель председателя комиссии</w:t>
            </w:r>
            <w:r>
              <w:rPr>
                <w:sz w:val="27"/>
              </w:rPr>
              <w:t>;</w:t>
            </w:r>
            <w:r>
              <w:rPr>
                <w:sz w:val="27"/>
              </w:rPr>
              <w:t xml:space="preserve"> </w:t>
            </w:r>
          </w:p>
        </w:tc>
      </w:tr>
    </w:tbl>
    <w:p w14:paraId="10000000">
      <w:pPr>
        <w:widowControl w:val="1"/>
        <w:tabs>
          <w:tab w:leader="none" w:pos="1980" w:val="left"/>
        </w:tabs>
        <w:ind/>
        <w:jc w:val="both"/>
        <w:rPr>
          <w:sz w:val="27"/>
        </w:rPr>
      </w:pPr>
      <w:r>
        <w:rPr>
          <w:sz w:val="27"/>
        </w:rPr>
        <w:t>Члены комиссии:</w:t>
      </w:r>
    </w:p>
    <w:p w14:paraId="11000000">
      <w:pPr>
        <w:widowControl w:val="1"/>
        <w:tabs>
          <w:tab w:leader="none" w:pos="1980" w:val="left"/>
        </w:tabs>
        <w:ind/>
        <w:jc w:val="both"/>
        <w:rPr>
          <w:sz w:val="27"/>
        </w:rPr>
      </w:pPr>
    </w:p>
    <w:tbl>
      <w:tblPr>
        <w:tblStyle w:val="Style_1"/>
        <w:tblW w:type="auto" w:w="0"/>
        <w:tblLayout w:type="fixed"/>
      </w:tblPr>
      <w:tblGrid>
        <w:gridCol w:w="2518"/>
        <w:gridCol w:w="3260"/>
        <w:gridCol w:w="3686"/>
        <w:gridCol w:w="142"/>
        <w:gridCol w:w="42"/>
      </w:tblGrid>
      <w:tr>
        <w:tc>
          <w:tcPr>
            <w:tcW w:type="dxa" w:w="2518"/>
            <w:shd w:fill="auto" w:val="clear"/>
          </w:tcPr>
          <w:p w14:paraId="12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Ю.В.Сухорукова</w:t>
            </w:r>
            <w:r>
              <w:rPr>
                <w:sz w:val="27"/>
              </w:rPr>
              <w:t xml:space="preserve">   </w:t>
            </w:r>
            <w:r>
              <w:rPr>
                <w:sz w:val="27"/>
              </w:rPr>
              <w:t>-</w:t>
            </w:r>
            <w:r>
              <w:rPr>
                <w:sz w:val="27"/>
              </w:rPr>
              <w:t xml:space="preserve">     </w:t>
            </w:r>
          </w:p>
        </w:tc>
        <w:tc>
          <w:tcPr>
            <w:tcW w:type="dxa" w:w="7088"/>
            <w:gridSpan w:val="3"/>
            <w:shd w:fill="auto" w:val="clear"/>
          </w:tcPr>
          <w:p w14:paraId="13000000">
            <w:pPr>
              <w:widowControl w:val="1"/>
              <w:tabs>
                <w:tab w:leader="none" w:pos="5250" w:val="left"/>
              </w:tabs>
              <w:ind w:hanging="34" w:left="34"/>
              <w:jc w:val="both"/>
              <w:rPr>
                <w:sz w:val="27"/>
              </w:rPr>
            </w:pPr>
            <w:r>
              <w:rPr>
                <w:sz w:val="27"/>
              </w:rPr>
              <w:t>начальник МКУ «УЖС администрации Крапивинского муниципального округа»;</w:t>
            </w:r>
          </w:p>
          <w:p w14:paraId="14000000">
            <w:pPr>
              <w:widowControl w:val="1"/>
              <w:tabs>
                <w:tab w:leader="none" w:pos="5250" w:val="left"/>
              </w:tabs>
              <w:ind w:hanging="34" w:left="34"/>
              <w:jc w:val="both"/>
              <w:rPr>
                <w:sz w:val="27"/>
              </w:rPr>
            </w:pPr>
          </w:p>
        </w:tc>
        <w:tc>
          <w:tcPr>
            <w:tcW w:type="dxa" w:w="42"/>
          </w:tcPr>
          <w:p/>
        </w:tc>
      </w:tr>
      <w:tr>
        <w:tc>
          <w:tcPr>
            <w:tcW w:type="dxa" w:w="2518"/>
            <w:shd w:fill="auto" w:val="clear"/>
          </w:tcPr>
          <w:p w14:paraId="15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Е.С. </w:t>
            </w:r>
            <w:r>
              <w:rPr>
                <w:sz w:val="27"/>
              </w:rPr>
              <w:t>Сметанин</w:t>
            </w:r>
            <w:r>
              <w:rPr>
                <w:sz w:val="27"/>
              </w:rPr>
              <w:t xml:space="preserve">      </w:t>
            </w:r>
            <w:r>
              <w:rPr>
                <w:sz w:val="27"/>
              </w:rPr>
              <w:t xml:space="preserve"> -   </w:t>
            </w:r>
            <w:r>
              <w:rPr>
                <w:sz w:val="27"/>
              </w:rPr>
              <w:t xml:space="preserve">       </w:t>
            </w:r>
          </w:p>
        </w:tc>
        <w:tc>
          <w:tcPr>
            <w:tcW w:type="dxa" w:w="7130"/>
            <w:gridSpan w:val="4"/>
            <w:shd w:fill="auto" w:val="clear"/>
          </w:tcPr>
          <w:p w14:paraId="16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директор ООО «</w:t>
            </w:r>
            <w:r>
              <w:rPr>
                <w:sz w:val="27"/>
              </w:rPr>
              <w:t>Тепло-энергетические</w:t>
            </w:r>
            <w:r>
              <w:rPr>
                <w:sz w:val="27"/>
              </w:rPr>
              <w:t xml:space="preserve"> предприятия», единая теплоснабжающая организация (по согласованию);</w:t>
            </w:r>
          </w:p>
          <w:p w14:paraId="17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2518"/>
            <w:shd w:fill="auto" w:val="clear"/>
          </w:tcPr>
          <w:p w14:paraId="18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А.В. Игнатов         -  </w:t>
            </w:r>
          </w:p>
        </w:tc>
        <w:tc>
          <w:tcPr>
            <w:tcW w:type="dxa" w:w="7130"/>
            <w:gridSpan w:val="4"/>
            <w:shd w:fill="auto" w:val="clear"/>
          </w:tcPr>
          <w:p w14:paraId="19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з</w:t>
            </w:r>
            <w:r>
              <w:rPr>
                <w:sz w:val="27"/>
              </w:rPr>
              <w:t xml:space="preserve">аместитель директора по производственным вопросам  ООО «Кузбасская </w:t>
            </w:r>
            <w:r>
              <w:rPr>
                <w:sz w:val="27"/>
              </w:rPr>
              <w:t>энергосетевая</w:t>
            </w:r>
            <w:r>
              <w:rPr>
                <w:sz w:val="27"/>
              </w:rPr>
              <w:t xml:space="preserve"> компания» (по согласованию</w:t>
            </w:r>
            <w:r>
              <w:rPr>
                <w:sz w:val="27"/>
              </w:rPr>
              <w:t>, в отношении объектов, расположенных на территории пгт.Зеленогорский, пгт.Крапивинский)</w:t>
            </w:r>
            <w:r>
              <w:rPr>
                <w:sz w:val="27"/>
              </w:rPr>
              <w:t>;</w:t>
            </w:r>
          </w:p>
          <w:p w14:paraId="1A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2518"/>
            <w:shd w:fill="auto" w:val="clear"/>
          </w:tcPr>
          <w:p w14:paraId="1B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И.Ю.Арещенко</w:t>
            </w:r>
            <w:r>
              <w:rPr>
                <w:sz w:val="27"/>
              </w:rPr>
              <w:t xml:space="preserve">           </w:t>
            </w:r>
          </w:p>
        </w:tc>
        <w:tc>
          <w:tcPr>
            <w:tcW w:type="dxa" w:w="7130"/>
            <w:gridSpan w:val="4"/>
            <w:shd w:fill="auto" w:val="clear"/>
          </w:tcPr>
          <w:p w14:paraId="1C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начальник Панфиловского РЭС ПО ЦЭС «Кузбассэнерго-РЭС» филиала ПАО «</w:t>
            </w:r>
            <w:r>
              <w:rPr>
                <w:sz w:val="27"/>
              </w:rPr>
              <w:t>Россети</w:t>
            </w:r>
            <w:r>
              <w:rPr>
                <w:sz w:val="27"/>
              </w:rPr>
              <w:t xml:space="preserve"> Сибирь» (по согласованию, в отношении объектов, расположенных на территории сельских населенных пунктов);</w:t>
            </w:r>
          </w:p>
          <w:p w14:paraId="1D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2518"/>
            <w:shd w:fill="auto" w:val="clear"/>
          </w:tcPr>
          <w:p w14:paraId="1E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В.Д. </w:t>
            </w:r>
            <w:r>
              <w:rPr>
                <w:sz w:val="27"/>
              </w:rPr>
              <w:t>Кайль</w:t>
            </w:r>
            <w:r>
              <w:rPr>
                <w:sz w:val="27"/>
              </w:rPr>
              <w:t xml:space="preserve">     </w:t>
            </w:r>
            <w:r>
              <w:rPr>
                <w:sz w:val="27"/>
              </w:rPr>
              <w:t xml:space="preserve">      -</w:t>
            </w:r>
            <w:r>
              <w:rPr>
                <w:sz w:val="27"/>
              </w:rPr>
              <w:t xml:space="preserve">  </w:t>
            </w:r>
          </w:p>
        </w:tc>
        <w:tc>
          <w:tcPr>
            <w:tcW w:type="dxa" w:w="7130"/>
            <w:gridSpan w:val="4"/>
            <w:shd w:fill="auto" w:val="clear"/>
          </w:tcPr>
          <w:p w14:paraId="1F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специалист 1 категории</w:t>
            </w:r>
            <w:r>
              <w:rPr>
                <w:sz w:val="27"/>
              </w:rPr>
              <w:t xml:space="preserve"> ГКУ «Центр оперативного контроля жилищно-коммунального и дорожного комплекса Кузбасса»</w:t>
            </w:r>
            <w:r>
              <w:rPr>
                <w:sz w:val="27"/>
              </w:rPr>
              <w:t xml:space="preserve"> (по согласованию, в отношении ресурсно-снабжающей организации муниципального образования);</w:t>
            </w:r>
          </w:p>
          <w:p w14:paraId="20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rPr>
          <w:trHeight w:hRule="atLeast" w:val="1636"/>
        </w:trPr>
        <w:tc>
          <w:tcPr>
            <w:tcW w:type="dxa" w:w="2518"/>
            <w:shd w:fill="auto" w:val="clear"/>
          </w:tcPr>
          <w:p w14:paraId="21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Представитель   -     </w:t>
            </w:r>
          </w:p>
          <w:p w14:paraId="22000000">
            <w:pPr>
              <w:rPr>
                <w:sz w:val="27"/>
              </w:rPr>
            </w:pPr>
          </w:p>
          <w:p w14:paraId="23000000">
            <w:pPr>
              <w:rPr>
                <w:sz w:val="27"/>
              </w:rPr>
            </w:pPr>
          </w:p>
          <w:p w14:paraId="24000000">
            <w:pPr>
              <w:rPr>
                <w:sz w:val="27"/>
              </w:rPr>
            </w:pPr>
          </w:p>
          <w:p w14:paraId="25000000">
            <w:pPr>
              <w:pStyle w:val="Style_2"/>
            </w:pPr>
          </w:p>
        </w:tc>
        <w:tc>
          <w:tcPr>
            <w:tcW w:type="dxa" w:w="7130"/>
            <w:gridSpan w:val="4"/>
            <w:shd w:fill="auto" w:val="clear"/>
          </w:tcPr>
          <w:p w14:paraId="26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главный </w:t>
            </w:r>
            <w:r>
              <w:rPr>
                <w:sz w:val="27"/>
              </w:rPr>
              <w:t xml:space="preserve">государственный инспектор Кузбасского отдела по надзору за тепловыми электростанциями, теплогенерирующими установками и сетями и котлонадзору Сибирского управления </w:t>
            </w:r>
            <w:r>
              <w:rPr>
                <w:sz w:val="27"/>
              </w:rPr>
              <w:t>Ростехнадзора</w:t>
            </w:r>
            <w:r>
              <w:rPr>
                <w:sz w:val="27"/>
              </w:rPr>
              <w:t xml:space="preserve"> по Кемеровской области (по согласованию</w:t>
            </w:r>
            <w:r>
              <w:rPr>
                <w:sz w:val="27"/>
              </w:rPr>
              <w:t>, в отношении ресурсно-снабжающей организации муниципального образования</w:t>
            </w:r>
            <w:r>
              <w:rPr>
                <w:sz w:val="27"/>
              </w:rPr>
              <w:t>);</w:t>
            </w:r>
          </w:p>
        </w:tc>
      </w:tr>
      <w:tr>
        <w:trPr>
          <w:trHeight w:hRule="atLeast" w:val="716"/>
        </w:trPr>
        <w:tc>
          <w:tcPr>
            <w:tcW w:type="dxa" w:w="2518"/>
            <w:shd w:fill="auto" w:val="clear"/>
          </w:tcPr>
          <w:p w14:paraId="27000000">
            <w:pPr>
              <w:widowControl w:val="1"/>
              <w:tabs>
                <w:tab w:leader="none" w:pos="198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Представитель   -  </w:t>
            </w:r>
          </w:p>
        </w:tc>
        <w:tc>
          <w:tcPr>
            <w:tcW w:type="dxa" w:w="7130"/>
            <w:gridSpan w:val="4"/>
            <w:shd w:fill="auto" w:val="clear"/>
          </w:tcPr>
          <w:p w14:paraId="28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  <w:r>
              <w:rPr>
                <w:sz w:val="27"/>
              </w:rPr>
              <w:t>представитель Государственной жилищной инспекции Кузбасса</w:t>
            </w:r>
            <w:r>
              <w:rPr>
                <w:sz w:val="27"/>
              </w:rPr>
              <w:t xml:space="preserve"> (по согласованию, в отношении многоквартирных домов).</w:t>
            </w:r>
          </w:p>
          <w:p w14:paraId="29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  <w:p w14:paraId="2A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  <w:p w14:paraId="2B000000">
            <w:pPr>
              <w:widowControl w:val="1"/>
              <w:tabs>
                <w:tab w:leader="none" w:pos="0" w:val="left"/>
                <w:tab w:leader="none" w:pos="900" w:val="left"/>
              </w:tabs>
              <w:ind/>
              <w:jc w:val="both"/>
              <w:rPr>
                <w:sz w:val="27"/>
              </w:rPr>
            </w:pPr>
          </w:p>
        </w:tc>
      </w:tr>
      <w:tr>
        <w:tc>
          <w:tcPr>
            <w:tcW w:type="dxa" w:w="5778"/>
            <w:gridSpan w:val="2"/>
            <w:shd w:fill="auto" w:val="clear"/>
          </w:tcPr>
          <w:p w14:paraId="2C000000">
            <w:pPr>
              <w:widowControl w:val="1"/>
              <w:ind/>
              <w:jc w:val="center"/>
              <w:rPr>
                <w:sz w:val="27"/>
              </w:rPr>
            </w:pPr>
            <w:r>
              <w:rPr>
                <w:sz w:val="27"/>
              </w:rPr>
              <w:t xml:space="preserve">         </w:t>
            </w:r>
            <w:r>
              <w:rPr>
                <w:sz w:val="27"/>
              </w:rPr>
              <w:t>Первый заместитель главы</w:t>
            </w:r>
          </w:p>
        </w:tc>
        <w:tc>
          <w:tcPr>
            <w:tcW w:type="dxa" w:w="3686"/>
            <w:shd w:fill="auto" w:val="clear"/>
          </w:tcPr>
          <w:p w14:paraId="2D000000">
            <w:pPr>
              <w:widowControl w:val="1"/>
              <w:ind/>
              <w:jc w:val="both"/>
              <w:rPr>
                <w:sz w:val="27"/>
              </w:rPr>
            </w:pPr>
          </w:p>
        </w:tc>
        <w:tc>
          <w:tcPr>
            <w:tcW w:type="dxa" w:w="142"/>
          </w:tcPr>
          <w:p/>
        </w:tc>
        <w:tc>
          <w:tcPr>
            <w:tcW w:type="dxa" w:w="42"/>
          </w:tcPr>
          <w:p/>
        </w:tc>
      </w:tr>
      <w:tr>
        <w:trPr>
          <w:trHeight w:hRule="atLeast" w:val="1381"/>
        </w:trPr>
        <w:tc>
          <w:tcPr>
            <w:tcW w:type="dxa" w:w="5778"/>
            <w:gridSpan w:val="2"/>
            <w:shd w:fill="auto" w:val="clear"/>
          </w:tcPr>
          <w:p w14:paraId="2E000000">
            <w:pPr>
              <w:widowControl w:val="1"/>
              <w:ind/>
              <w:jc w:val="center"/>
              <w:rPr>
                <w:sz w:val="27"/>
              </w:rPr>
            </w:pPr>
            <w:r>
              <w:rPr>
                <w:sz w:val="27"/>
              </w:rPr>
              <w:t xml:space="preserve">Крапивинского муниципального округа  </w:t>
            </w:r>
            <w:r>
              <w:rPr>
                <w:sz w:val="27"/>
              </w:rPr>
              <w:t>(по жилищно-коммунальному хозяйству,</w:t>
            </w:r>
          </w:p>
          <w:p w14:paraId="2F000000">
            <w:pPr>
              <w:widowControl w:val="1"/>
              <w:ind/>
              <w:jc w:val="center"/>
              <w:rPr>
                <w:sz w:val="27"/>
              </w:rPr>
            </w:pPr>
            <w:r>
              <w:rPr>
                <w:sz w:val="27"/>
              </w:rPr>
              <w:t>капитальному строительству и дорожному хозяйству)</w:t>
            </w:r>
          </w:p>
        </w:tc>
        <w:tc>
          <w:tcPr>
            <w:tcW w:type="dxa" w:w="3686"/>
            <w:shd w:fill="auto" w:val="clear"/>
          </w:tcPr>
          <w:p w14:paraId="30000000">
            <w:pPr>
              <w:widowControl w:val="1"/>
              <w:ind/>
              <w:jc w:val="both"/>
              <w:rPr>
                <w:sz w:val="27"/>
              </w:rPr>
            </w:pPr>
            <w:r>
              <w:rPr>
                <w:sz w:val="27"/>
              </w:rPr>
              <w:t xml:space="preserve">                       </w:t>
            </w:r>
          </w:p>
          <w:p w14:paraId="31000000">
            <w:pPr>
              <w:widowControl w:val="1"/>
              <w:ind/>
              <w:jc w:val="both"/>
              <w:rPr>
                <w:sz w:val="27"/>
              </w:rPr>
            </w:pPr>
          </w:p>
          <w:p w14:paraId="32000000">
            <w:pPr>
              <w:widowControl w:val="1"/>
              <w:ind/>
              <w:jc w:val="both"/>
              <w:rPr>
                <w:sz w:val="27"/>
              </w:rPr>
            </w:pPr>
          </w:p>
          <w:p w14:paraId="33000000">
            <w:pPr>
              <w:widowControl w:val="1"/>
              <w:ind/>
              <w:jc w:val="right"/>
              <w:rPr>
                <w:sz w:val="27"/>
              </w:rPr>
            </w:pPr>
            <w:r>
              <w:rPr>
                <w:sz w:val="27"/>
              </w:rPr>
              <w:t xml:space="preserve"> Н.Ф. Арнольд</w:t>
            </w:r>
          </w:p>
        </w:tc>
        <w:tc>
          <w:tcPr>
            <w:tcW w:type="dxa" w:w="142"/>
          </w:tcPr>
          <w:p/>
        </w:tc>
        <w:tc>
          <w:tcPr>
            <w:tcW w:type="dxa" w:w="42"/>
          </w:tcPr>
          <w:p/>
        </w:tc>
      </w:tr>
    </w:tbl>
    <w:p w14:paraId="34000000">
      <w:pPr>
        <w:widowControl w:val="1"/>
        <w:tabs>
          <w:tab w:leader="none" w:pos="5250" w:val="left"/>
        </w:tabs>
        <w:ind/>
        <w:jc w:val="both"/>
        <w:rPr>
          <w:sz w:val="27"/>
        </w:rPr>
      </w:pPr>
    </w:p>
    <w:p w14:paraId="35000000">
      <w:pPr>
        <w:widowControl w:val="1"/>
        <w:tabs>
          <w:tab w:leader="none" w:pos="5250" w:val="left"/>
        </w:tabs>
        <w:ind/>
        <w:jc w:val="both"/>
        <w:rPr>
          <w:sz w:val="27"/>
        </w:rPr>
      </w:pPr>
    </w:p>
    <w:sectPr>
      <w:pgSz w:h="16838" w:orient="portrait" w:w="11906"/>
      <w:pgMar w:bottom="1276" w:footer="709" w:gutter="0" w:header="709" w:left="170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List Paragraph"/>
    <w:basedOn w:val="Style_3"/>
    <w:link w:val="Style_8_ch"/>
    <w:pPr>
      <w:widowControl w:val="1"/>
      <w:ind w:left="720"/>
      <w:contextualSpacing w:val="1"/>
    </w:pPr>
  </w:style>
  <w:style w:styleId="Style_8_ch" w:type="character">
    <w:name w:val="List Paragraph"/>
    <w:basedOn w:val="Style_3_ch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3"/>
    <w:link w:val="Style_11_ch"/>
    <w:rPr>
      <w:rFonts w:ascii="Tahoma" w:hAnsi="Tahoma"/>
      <w:sz w:val="16"/>
    </w:rPr>
  </w:style>
  <w:style w:styleId="Style_11_ch" w:type="character">
    <w:name w:val="Balloon Text"/>
    <w:basedOn w:val="Style_3_ch"/>
    <w:link w:val="Style_11"/>
    <w:rPr>
      <w:rFonts w:ascii="Tahoma" w:hAnsi="Tahoma"/>
      <w:sz w:val="16"/>
    </w:rPr>
  </w:style>
  <w:style w:styleId="Style_12" w:type="paragraph">
    <w:name w:val="ConsPlusNormal"/>
    <w:link w:val="Style_12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2_ch" w:type="character">
    <w:name w:val="ConsPlusNormal"/>
    <w:link w:val="Style_12"/>
    <w:rPr>
      <w:rFonts w:ascii="Arial" w:hAnsi="Arial"/>
      <w:sz w:val="20"/>
    </w:rPr>
  </w:style>
  <w:style w:styleId="Style_13" w:type="paragraph">
    <w:name w:val="toc 3"/>
    <w:next w:val="Style_3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2_ch" w:type="character">
    <w:name w:val="No Spacing"/>
    <w:link w:val="Style_2"/>
    <w:rPr>
      <w:rFonts w:ascii="Times New Roman" w:hAnsi="Times New Roman"/>
      <w:sz w:val="20"/>
    </w:rPr>
  </w:style>
  <w:style w:styleId="Style_14" w:type="paragraph">
    <w:name w:val="heading 5"/>
    <w:basedOn w:val="Style_3"/>
    <w:next w:val="Style_3"/>
    <w:link w:val="Style_14_ch"/>
    <w:uiPriority w:val="9"/>
    <w:qFormat/>
    <w:pPr>
      <w:keepNext w:val="1"/>
      <w:widowControl w:val="1"/>
      <w:spacing w:before="120"/>
      <w:ind/>
      <w:jc w:val="center"/>
      <w:outlineLvl w:val="4"/>
    </w:pPr>
    <w:rPr>
      <w:b w:val="1"/>
      <w:sz w:val="28"/>
    </w:rPr>
  </w:style>
  <w:style w:styleId="Style_14_ch" w:type="character">
    <w:name w:val="heading 5"/>
    <w:basedOn w:val="Style_3_ch"/>
    <w:link w:val="Style_14"/>
    <w:rPr>
      <w:b w:val="1"/>
      <w:sz w:val="28"/>
    </w:rPr>
  </w:style>
  <w:style w:styleId="Style_15" w:type="paragraph">
    <w:name w:val="ConsPlusNonformat"/>
    <w:link w:val="Style_15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5_ch" w:type="character">
    <w:name w:val="ConsPlusNonformat"/>
    <w:link w:val="Style_15"/>
    <w:rPr>
      <w:rFonts w:ascii="Courier New" w:hAnsi="Courier New"/>
      <w:sz w:val="20"/>
    </w:rPr>
  </w:style>
  <w:style w:styleId="Style_16" w:type="paragraph">
    <w:name w:val="Iau?iue"/>
    <w:link w:val="Style_16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16_ch" w:type="character">
    <w:name w:val="Iau?iue"/>
    <w:link w:val="Style_16"/>
    <w:rPr>
      <w:rFonts w:ascii="Times New Roman" w:hAnsi="Times New Roman"/>
      <w:sz w:val="20"/>
    </w:rPr>
  </w:style>
  <w:style w:styleId="Style_17" w:type="paragraph">
    <w:name w:val="heading 1"/>
    <w:next w:val="Style_3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3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3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3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3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basedOn w:val="Style_3"/>
    <w:next w:val="Style_3"/>
    <w:link w:val="Style_27_ch"/>
    <w:uiPriority w:val="9"/>
    <w:qFormat/>
    <w:pPr>
      <w:keepNext w:val="1"/>
      <w:widowControl w:val="1"/>
      <w:ind/>
      <w:jc w:val="center"/>
      <w:outlineLvl w:val="3"/>
    </w:pPr>
    <w:rPr>
      <w:b w:val="1"/>
      <w:sz w:val="36"/>
    </w:rPr>
  </w:style>
  <w:style w:styleId="Style_27_ch" w:type="character">
    <w:name w:val="heading 4"/>
    <w:basedOn w:val="Style_3_ch"/>
    <w:link w:val="Style_27"/>
    <w:rPr>
      <w:b w:val="1"/>
      <w:sz w:val="36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heading 2"/>
    <w:next w:val="Style_3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2026-09-30T09:58:00Z</dcterms:created>
  <dcterms:modified xsi:type="dcterms:W3CDTF">2026-10-02T06:38:14Z</dcterms:modified>
</cp:coreProperties>
</file>