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tabs>
          <w:tab w:leader="none" w:pos="1134" w:val="left"/>
        </w:tabs>
        <w:ind w:firstLine="5387" w:left="0"/>
        <w:jc w:val="center"/>
        <w:rPr>
          <w:rFonts w:ascii="Times New Roman" w:hAnsi="Times New Roman"/>
        </w:rPr>
      </w:pPr>
      <w:bookmarkStart w:id="1" w:name="sub_56"/>
      <w:r>
        <w:rPr>
          <w:rFonts w:ascii="Times New Roman" w:hAnsi="Times New Roman"/>
        </w:rPr>
        <w:t>Приложение № 1</w:t>
      </w:r>
    </w:p>
    <w:p w14:paraId="03000000">
      <w:pPr>
        <w:widowControl w:val="1"/>
        <w:ind w:left="538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решению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Совета народных депутатов Крапивинского </w:t>
      </w:r>
      <w:r>
        <w:rPr>
          <w:rFonts w:ascii="Times New Roman" w:hAnsi="Times New Roman"/>
        </w:rPr>
        <w:t>муниципального округа</w:t>
      </w:r>
    </w:p>
    <w:p w14:paraId="04000000">
      <w:pPr>
        <w:widowControl w:val="1"/>
        <w:ind w:left="538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_____________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_______</w:t>
      </w:r>
    </w:p>
    <w:p w14:paraId="05000000">
      <w:pPr>
        <w:widowControl w:val="1"/>
        <w:ind w:firstLine="567"/>
        <w:jc w:val="center"/>
        <w:rPr>
          <w:rFonts w:ascii="Times New Roman" w:hAnsi="Times New Roman"/>
          <w:sz w:val="28"/>
        </w:rPr>
      </w:pPr>
    </w:p>
    <w:p w14:paraId="06000000">
      <w:pPr>
        <w:widowControl w:val="1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Тарифы</w:t>
      </w:r>
      <w:r>
        <w:rPr>
          <w:rFonts w:ascii="Times New Roman" w:hAnsi="Times New Roman"/>
          <w:sz w:val="28"/>
        </w:rPr>
        <w:t xml:space="preserve"> на услуги</w:t>
      </w:r>
      <w:r>
        <w:rPr>
          <w:rFonts w:ascii="Times New Roman" w:hAnsi="Times New Roman"/>
          <w:sz w:val="28"/>
        </w:rPr>
        <w:t>, оказываемые</w:t>
      </w:r>
      <w:r>
        <w:rPr>
          <w:rFonts w:ascii="Times New Roman" w:hAnsi="Times New Roman"/>
          <w:sz w:val="28"/>
        </w:rPr>
        <w:t xml:space="preserve"> </w:t>
      </w:r>
    </w:p>
    <w:p w14:paraId="07000000">
      <w:pPr>
        <w:widowControl w:val="1"/>
        <w:ind w:firstLine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sz w:val="28"/>
        </w:rPr>
        <w:t xml:space="preserve"> бюджетн</w:t>
      </w:r>
      <w:r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sz w:val="28"/>
        </w:rPr>
        <w:t xml:space="preserve"> учреждени</w:t>
      </w:r>
      <w:r>
        <w:rPr>
          <w:rFonts w:ascii="Times New Roman" w:hAnsi="Times New Roman"/>
          <w:sz w:val="28"/>
        </w:rPr>
        <w:t>ем</w:t>
      </w:r>
      <w:r>
        <w:rPr>
          <w:rFonts w:ascii="Times New Roman" w:hAnsi="Times New Roman"/>
          <w:sz w:val="28"/>
        </w:rPr>
        <w:t xml:space="preserve"> дополнительного образования «Спортивная школа Крапивинского муниципального округа»</w:t>
      </w:r>
    </w:p>
    <w:p w14:paraId="08000000">
      <w:pPr>
        <w:widowControl w:val="1"/>
        <w:ind w:firstLine="567"/>
        <w:jc w:val="center"/>
        <w:rPr>
          <w:rFonts w:ascii="Times New Roman" w:hAnsi="Times New Roman"/>
          <w:b w:val="1"/>
          <w:sz w:val="22"/>
        </w:rPr>
      </w:pPr>
    </w:p>
    <w:tbl>
      <w:tblPr>
        <w:tblStyle w:val="Style_3"/>
        <w:tblW w:type="auto" w:w="0"/>
        <w:jc w:val="center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03"/>
        <w:gridCol w:w="265"/>
        <w:gridCol w:w="8"/>
        <w:gridCol w:w="225"/>
        <w:gridCol w:w="4161"/>
        <w:gridCol w:w="294"/>
        <w:gridCol w:w="1407"/>
        <w:gridCol w:w="294"/>
        <w:gridCol w:w="2399"/>
        <w:gridCol w:w="303"/>
      </w:tblGrid>
      <w:tr>
        <w:trPr>
          <w:trHeight w:hRule="atLeast" w:val="400"/>
        </w:trPr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44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Наименование услуги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Единица измерения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Стоимость услуги, руб.</w:t>
            </w:r>
          </w:p>
        </w:tc>
      </w:tr>
      <w:tr>
        <w:trPr>
          <w:trHeight w:hRule="atLeast" w:val="400"/>
        </w:trPr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35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Г</w:t>
            </w:r>
            <w:r>
              <w:rPr>
                <w:rFonts w:ascii="Times New Roman" w:hAnsi="Times New Roman"/>
                <w:b w:val="1"/>
              </w:rPr>
              <w:t>остиничный комплекс «Спортотель»</w:t>
            </w:r>
            <w:r>
              <w:rPr>
                <w:rFonts w:ascii="Times New Roman" w:hAnsi="Times New Roman"/>
                <w:b w:val="1"/>
              </w:rPr>
              <w:t>:</w:t>
            </w:r>
          </w:p>
          <w:p w14:paraId="0E00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 пгт. Зеленогорский, ул. Центральная, 25;</w:t>
            </w:r>
          </w:p>
          <w:p w14:paraId="0F00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 пгт. Зеленогорский, ул. Центральная, 28.</w:t>
            </w:r>
          </w:p>
        </w:tc>
      </w:tr>
      <w:tr>
        <w:trPr>
          <w:trHeight w:hRule="atLeast" w:val="415"/>
        </w:trPr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44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тандартн</w:t>
            </w:r>
            <w:r>
              <w:rPr>
                <w:rFonts w:ascii="Times New Roman" w:hAnsi="Times New Roman"/>
              </w:rPr>
              <w:t>ый</w:t>
            </w:r>
            <w:r>
              <w:rPr>
                <w:rFonts w:ascii="Times New Roman" w:hAnsi="Times New Roman"/>
              </w:rPr>
              <w:t xml:space="preserve"> номер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</w:t>
            </w:r>
            <w:r>
              <w:rPr>
                <w:rFonts w:ascii="Times New Roman" w:hAnsi="Times New Roman"/>
              </w:rPr>
              <w:t>/сутки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  <w:r>
              <w:rPr>
                <w:rFonts w:ascii="Times New Roman" w:hAnsi="Times New Roman"/>
              </w:rPr>
              <w:t>,00</w:t>
            </w:r>
          </w:p>
        </w:tc>
      </w:tr>
      <w:tr>
        <w:trPr>
          <w:trHeight w:hRule="atLeast" w:val="415"/>
        </w:trPr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44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омнат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повышенной комфортности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чел/сутки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00,00</w:t>
            </w:r>
          </w:p>
        </w:tc>
      </w:tr>
      <w:tr>
        <w:trPr>
          <w:trHeight w:hRule="atLeast" w:val="415"/>
        </w:trPr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49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445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Стирка белья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>загрузка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270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0,00</w:t>
            </w:r>
          </w:p>
        </w:tc>
      </w:tr>
      <w:tr>
        <w:trPr>
          <w:trHeight w:hRule="atLeast" w:val="415"/>
        </w:trPr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35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widowControl w:val="1"/>
              <w:ind/>
              <w:jc w:val="center"/>
              <w:outlineLvl w:val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Лыжероллерная трасса</w:t>
            </w:r>
          </w:p>
        </w:tc>
      </w:tr>
      <w:tr>
        <w:trPr>
          <w:trHeight w:hRule="atLeast" w:val="415"/>
        </w:trPr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935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00000">
            <w:pPr>
              <w:widowControl w:val="1"/>
              <w:ind/>
              <w:outlineLvl w:val="0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пгт. Зеленогорский, ул. Центральная, 1.</w:t>
            </w:r>
          </w:p>
        </w:tc>
      </w:tr>
      <w:tr>
        <w:trPr>
          <w:trHeight w:hRule="atLeast" w:val="415"/>
        </w:trPr>
        <w:tc>
          <w:tcPr>
            <w:tcW w:type="dxa" w:w="57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438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Аренда трассы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Чел./день</w:t>
            </w:r>
          </w:p>
        </w:tc>
        <w:tc>
          <w:tcPr>
            <w:tcW w:type="dxa" w:w="26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400"/>
        </w:trPr>
        <w:tc>
          <w:tcPr>
            <w:tcW w:type="dxa" w:w="935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Тренажерный зал</w:t>
            </w:r>
          </w:p>
        </w:tc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415"/>
        </w:trPr>
        <w:tc>
          <w:tcPr>
            <w:tcW w:type="dxa" w:w="935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0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- пгт. Крапивинский, ул. 60 лет Октября, 17Б; </w:t>
            </w:r>
          </w:p>
          <w:p w14:paraId="2400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 пгт. Зеленогорский, ул. Центральная, 25</w:t>
            </w:r>
            <w:r>
              <w:rPr>
                <w:rFonts w:ascii="Times New Roman" w:hAnsi="Times New Roman"/>
                <w:b w:val="1"/>
              </w:rPr>
              <w:t>;</w:t>
            </w:r>
          </w:p>
          <w:p w14:paraId="2500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 пгт. Зеленогорский, ул. Центральная, 28.</w:t>
            </w:r>
          </w:p>
        </w:tc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415"/>
        </w:trPr>
        <w:tc>
          <w:tcPr>
            <w:tcW w:type="dxa" w:w="5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43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тренажерного зала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</w:t>
            </w:r>
          </w:p>
        </w:tc>
        <w:tc>
          <w:tcPr>
            <w:tcW w:type="dxa" w:w="26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50,00</w:t>
            </w:r>
          </w:p>
        </w:tc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415"/>
        </w:trPr>
        <w:tc>
          <w:tcPr>
            <w:tcW w:type="dxa" w:w="5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43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абонемент на посещение занятий в тренажерном зале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месяц</w:t>
            </w:r>
          </w:p>
        </w:tc>
        <w:tc>
          <w:tcPr>
            <w:tcW w:type="dxa" w:w="26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450,00</w:t>
            </w:r>
          </w:p>
        </w:tc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415"/>
        </w:trPr>
        <w:tc>
          <w:tcPr>
            <w:tcW w:type="dxa" w:w="935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Прокат </w:t>
            </w:r>
          </w:p>
        </w:tc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415"/>
        </w:trPr>
        <w:tc>
          <w:tcPr>
            <w:tcW w:type="dxa" w:w="935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0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- пгт. Крапивинский, ул. 60 лет Октября, 17Б; </w:t>
            </w:r>
          </w:p>
          <w:p w14:paraId="3000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- пгт. Зеленогорский, ул. Центральная, 1.</w:t>
            </w:r>
          </w:p>
        </w:tc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24"/>
        </w:trPr>
        <w:tc>
          <w:tcPr>
            <w:tcW w:type="dxa" w:w="5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43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Прокат коньков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</w:t>
            </w:r>
          </w:p>
        </w:tc>
        <w:tc>
          <w:tcPr>
            <w:tcW w:type="dxa" w:w="26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76"/>
        </w:trPr>
        <w:tc>
          <w:tcPr>
            <w:tcW w:type="dxa" w:w="9356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- пгт. Зеленогорский, </w:t>
            </w:r>
            <w:r>
              <w:rPr>
                <w:rFonts w:ascii="Times New Roman" w:hAnsi="Times New Roman"/>
                <w:b w:val="1"/>
              </w:rPr>
              <w:t>ул. Центральная, 1</w:t>
            </w:r>
          </w:p>
        </w:tc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354"/>
        </w:trPr>
        <w:tc>
          <w:tcPr>
            <w:tcW w:type="dxa" w:w="5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43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Прокат роликов, скандинавских палок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</w:t>
            </w:r>
          </w:p>
        </w:tc>
        <w:tc>
          <w:tcPr>
            <w:tcW w:type="dxa" w:w="26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100,00</w:t>
            </w:r>
          </w:p>
        </w:tc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287"/>
        </w:trPr>
        <w:tc>
          <w:tcPr>
            <w:tcW w:type="dxa" w:w="56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439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Прокат лыж с комплектующими</w:t>
            </w:r>
          </w:p>
        </w:tc>
        <w:tc>
          <w:tcPr>
            <w:tcW w:type="dxa" w:w="170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час</w:t>
            </w:r>
          </w:p>
        </w:tc>
        <w:tc>
          <w:tcPr>
            <w:tcW w:type="dxa" w:w="26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150,00</w:t>
            </w:r>
          </w:p>
        </w:tc>
        <w:tc>
          <w:tcPr>
            <w:tcW w:type="dxa" w:w="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3E000000">
      <w:pPr>
        <w:rPr>
          <w:rFonts w:ascii="Times New Roman" w:hAnsi="Times New Roman"/>
        </w:rPr>
      </w:pPr>
    </w:p>
    <w:p w14:paraId="3F000000">
      <w:pPr>
        <w:widowControl w:val="1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Льготы для отдельных категорий населения</w:t>
      </w:r>
      <w:r>
        <w:rPr>
          <w:rFonts w:ascii="Times New Roman" w:hAnsi="Times New Roman"/>
          <w:b w:val="1"/>
        </w:rPr>
        <w:t xml:space="preserve"> *</w:t>
      </w:r>
    </w:p>
    <w:p w14:paraId="40000000">
      <w:pPr>
        <w:rPr>
          <w:rFonts w:ascii="Times New Roman" w:hAnsi="Times New Roman"/>
        </w:rPr>
      </w:pPr>
    </w:p>
    <w:tbl>
      <w:tblPr>
        <w:tblStyle w:val="Style_3"/>
        <w:tblW w:type="auto" w:w="0"/>
        <w:tblInd w:type="dxa" w:w="-137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7088"/>
        <w:gridCol w:w="2126"/>
      </w:tblGrid>
      <w:tr>
        <w:trPr>
          <w:trHeight w:hRule="atLeast" w:val="827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41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Категори</w:t>
            </w:r>
            <w:r>
              <w:rPr>
                <w:rFonts w:ascii="Times New Roman" w:hAnsi="Times New Roman"/>
                <w:b w:val="1"/>
              </w:rPr>
              <w:t>и</w:t>
            </w:r>
            <w:r>
              <w:rPr>
                <w:rFonts w:ascii="Times New Roman" w:hAnsi="Times New Roman"/>
                <w:b w:val="1"/>
              </w:rPr>
              <w:t xml:space="preserve"> </w:t>
            </w:r>
            <w:r>
              <w:rPr>
                <w:rFonts w:ascii="Times New Roman" w:hAnsi="Times New Roman"/>
                <w:b w:val="1"/>
              </w:rPr>
              <w:t>населения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Условия посещения</w:t>
            </w:r>
            <w:r>
              <w:rPr>
                <w:rFonts w:ascii="Times New Roman" w:hAnsi="Times New Roman"/>
                <w:b w:val="1"/>
              </w:rPr>
              <w:t xml:space="preserve"> </w:t>
            </w:r>
            <w:r>
              <w:rPr>
                <w:rFonts w:ascii="Times New Roman" w:hAnsi="Times New Roman"/>
                <w:b w:val="1"/>
              </w:rPr>
              <w:t>(процент скидки)</w:t>
            </w:r>
          </w:p>
        </w:tc>
      </w:tr>
      <w:tr>
        <w:trPr>
          <w:trHeight w:hRule="atLeast" w:val="307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Несовершеннолетние дети</w:t>
            </w:r>
            <w:r>
              <w:rPr>
                <w:rFonts w:ascii="Times New Roman" w:hAnsi="Times New Roman"/>
              </w:rPr>
              <w:t xml:space="preserve"> и студенты</w:t>
            </w:r>
            <w:r>
              <w:rPr>
                <w:rFonts w:ascii="Times New Roman" w:hAnsi="Times New Roman"/>
              </w:rPr>
              <w:t xml:space="preserve"> очной формы обучения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30%</w:t>
            </w:r>
          </w:p>
        </w:tc>
      </w:tr>
      <w:tr>
        <w:trPr>
          <w:trHeight w:hRule="atLeast" w:val="409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Пенсионеры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нвалиды I, II, </w:t>
            </w:r>
            <w:r>
              <w:rPr>
                <w:rFonts w:ascii="Times New Roman" w:hAnsi="Times New Roman"/>
              </w:rPr>
              <w:t>III</w:t>
            </w:r>
            <w:r>
              <w:rPr>
                <w:rFonts w:ascii="Times New Roman" w:hAnsi="Times New Roman"/>
              </w:rPr>
              <w:t xml:space="preserve"> групп, дети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инвалиды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50%</w:t>
            </w:r>
          </w:p>
        </w:tc>
      </w:tr>
      <w:tr>
        <w:trPr>
          <w:trHeight w:hRule="atLeast" w:val="827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Военнослужащие, проходящие военную службу по призыву</w:t>
            </w:r>
            <w:r>
              <w:rPr>
                <w:rFonts w:ascii="Times New Roman" w:hAnsi="Times New Roman"/>
              </w:rPr>
              <w:t>;</w:t>
            </w:r>
          </w:p>
          <w:p w14:paraId="4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Ветераны и инвалиды ВОВ, </w:t>
            </w:r>
            <w:r>
              <w:rPr>
                <w:rFonts w:ascii="Times New Roman" w:hAnsi="Times New Roman"/>
              </w:rPr>
              <w:t xml:space="preserve">ветераны и </w:t>
            </w:r>
            <w:r>
              <w:rPr>
                <w:rFonts w:ascii="Times New Roman" w:hAnsi="Times New Roman"/>
              </w:rPr>
              <w:t>инвалиды боевых действий, Герои Советского Союза, Герои Российской Федерации, полные кавалеры Ордена Славы</w:t>
            </w:r>
            <w:r>
              <w:rPr>
                <w:rFonts w:ascii="Times New Roman" w:hAnsi="Times New Roman"/>
              </w:rPr>
              <w:t>;</w:t>
            </w:r>
          </w:p>
          <w:p w14:paraId="4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Участники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специальной военной операции</w:t>
            </w:r>
            <w:r>
              <w:rPr>
                <w:rFonts w:ascii="Times New Roman" w:hAnsi="Times New Roman"/>
              </w:rPr>
              <w:t>, а также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члены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их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семей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супруги участников специальной военной операции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дети, в том числе находящиеся под опекой (попечительством), пасынки, падчерицы участник</w:t>
            </w:r>
            <w:r>
              <w:rPr>
                <w:rFonts w:ascii="Times New Roman" w:hAnsi="Times New Roman"/>
              </w:rPr>
              <w:t xml:space="preserve">ов специальной военной операции, </w:t>
            </w:r>
            <w:r>
              <w:rPr>
                <w:rFonts w:ascii="Times New Roman" w:hAnsi="Times New Roman"/>
              </w:rPr>
              <w:t>родители участников специальной военной операции)</w:t>
            </w:r>
            <w:r>
              <w:rPr>
                <w:rFonts w:ascii="Times New Roman" w:hAnsi="Times New Roman"/>
              </w:rPr>
              <w:t>;</w:t>
            </w:r>
          </w:p>
          <w:p w14:paraId="4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Члены семей погибших (умерших) ветеранов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боевых действий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участников специальной военной операции всех категорий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30% - услуги проживания в Гостинице «Спортотель»;</w:t>
            </w:r>
          </w:p>
          <w:p w14:paraId="4C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  <w:r>
              <w:rPr>
                <w:rFonts w:ascii="Times New Roman" w:hAnsi="Times New Roman"/>
              </w:rPr>
              <w:t xml:space="preserve"> - иные услуги.</w:t>
            </w:r>
          </w:p>
        </w:tc>
      </w:tr>
      <w:tr>
        <w:trPr>
          <w:trHeight w:hRule="atLeast" w:val="827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Сборные команды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25% </w:t>
            </w:r>
          </w:p>
          <w:p w14:paraId="4F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 стоимости проживания в стандартном номере;</w:t>
            </w:r>
          </w:p>
          <w:p w14:paraId="50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 стоимост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стирки белья.</w:t>
            </w:r>
          </w:p>
        </w:tc>
      </w:tr>
      <w:tr>
        <w:trPr>
          <w:trHeight w:hRule="atLeast" w:val="501"/>
        </w:trPr>
        <w:tc>
          <w:tcPr>
            <w:tcW w:type="dxa" w:w="70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 сопровождающие туристические группы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(1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сопровождающий на 15 человек)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  <w:bookmarkEnd w:id="1"/>
          </w:p>
        </w:tc>
      </w:tr>
    </w:tbl>
    <w:p w14:paraId="53000000">
      <w:pPr>
        <w:rPr>
          <w:rFonts w:ascii="Times New Roman" w:hAnsi="Times New Roman"/>
        </w:rPr>
      </w:pPr>
    </w:p>
    <w:p w14:paraId="54000000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Льгота предоставляется при предъявлении подтверждающего документа, </w:t>
      </w:r>
      <w:r>
        <w:rPr>
          <w:rFonts w:ascii="Times New Roman" w:hAnsi="Times New Roman"/>
        </w:rPr>
        <w:t>QR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кода с «Единого портала государственных и муниципальных услуг (функций)» «Госуслуги» или сервиса «Цифровой </w:t>
      </w:r>
      <w:r>
        <w:rPr>
          <w:rFonts w:ascii="Times New Roman" w:hAnsi="Times New Roman"/>
        </w:rPr>
        <w:t>ID</w:t>
      </w:r>
      <w:r>
        <w:rPr>
          <w:rFonts w:ascii="Times New Roman" w:hAnsi="Times New Roman"/>
        </w:rPr>
        <w:t>».</w:t>
      </w:r>
    </w:p>
    <w:p w14:paraId="55000000">
      <w:pPr>
        <w:rPr>
          <w:rFonts w:ascii="Times New Roman" w:hAnsi="Times New Roman"/>
          <w:sz w:val="28"/>
        </w:rPr>
      </w:pPr>
    </w:p>
    <w:p w14:paraId="56000000">
      <w:pPr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134" w:footer="709" w:gutter="0" w:header="709" w:left="1985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ind/>
    </w:pPr>
    <w:rPr>
      <w:rFonts w:ascii="Arial" w:hAnsi="Arial"/>
      <w:sz w:val="24"/>
    </w:rPr>
  </w:style>
  <w:style w:default="1" w:styleId="Style_4_ch" w:type="character">
    <w:name w:val="Normal"/>
    <w:link w:val="Style_4"/>
    <w:rPr>
      <w:rFonts w:ascii="Arial" w:hAnsi="Arial"/>
      <w:sz w:val="24"/>
    </w:rPr>
  </w:style>
  <w:style w:styleId="Style_5" w:type="paragraph">
    <w:name w:val="Основной текст Знак1"/>
    <w:link w:val="Style_5_ch"/>
    <w:rPr>
      <w:rFonts w:ascii="Arial" w:hAnsi="Arial"/>
      <w:sz w:val="24"/>
    </w:rPr>
  </w:style>
  <w:style w:styleId="Style_5_ch" w:type="character">
    <w:name w:val="Основной текст Знак1"/>
    <w:link w:val="Style_5"/>
    <w:rPr>
      <w:rFonts w:ascii="Arial" w:hAnsi="Arial"/>
      <w:sz w:val="24"/>
    </w:rPr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formattext"/>
    <w:basedOn w:val="Style_4"/>
    <w:link w:val="Style_10_ch"/>
    <w:pPr>
      <w:widowControl w:val="1"/>
      <w:spacing w:afterAutospacing="on" w:beforeAutospacing="on"/>
      <w:ind/>
    </w:pPr>
    <w:rPr>
      <w:rFonts w:ascii="Times New Roman" w:hAnsi="Times New Roman"/>
    </w:rPr>
  </w:style>
  <w:style w:styleId="Style_10_ch" w:type="character">
    <w:name w:val="formattext"/>
    <w:basedOn w:val="Style_4_ch"/>
    <w:link w:val="Style_10"/>
    <w:rPr>
      <w:rFonts w:ascii="Times New Roman" w:hAnsi="Times New Roman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basedOn w:val="Style_4"/>
    <w:link w:val="Style_12_ch"/>
    <w:uiPriority w:val="9"/>
    <w:qFormat/>
    <w:pPr>
      <w:widowControl w:val="1"/>
      <w:spacing w:afterAutospacing="on" w:beforeAutospacing="on"/>
      <w:ind/>
      <w:outlineLvl w:val="2"/>
    </w:pPr>
    <w:rPr>
      <w:rFonts w:ascii="Times New Roman" w:hAnsi="Times New Roman"/>
      <w:b w:val="1"/>
      <w:sz w:val="27"/>
    </w:rPr>
  </w:style>
  <w:style w:styleId="Style_12_ch" w:type="character">
    <w:name w:val="heading 3"/>
    <w:basedOn w:val="Style_4_ch"/>
    <w:link w:val="Style_12"/>
    <w:rPr>
      <w:rFonts w:ascii="Times New Roman" w:hAnsi="Times New Roman"/>
      <w:b w:val="1"/>
      <w:sz w:val="27"/>
    </w:rPr>
  </w:style>
  <w:style w:styleId="Style_13" w:type="paragraph">
    <w:name w:val="Normal (Web)"/>
    <w:basedOn w:val="Style_4"/>
    <w:link w:val="Style_13_ch"/>
    <w:pPr>
      <w:widowControl w:val="1"/>
      <w:spacing w:afterAutospacing="on" w:beforeAutospacing="on"/>
      <w:ind/>
    </w:pPr>
    <w:rPr>
      <w:rFonts w:ascii="Times New Roman" w:hAnsi="Times New Roman"/>
    </w:rPr>
  </w:style>
  <w:style w:styleId="Style_13_ch" w:type="character">
    <w:name w:val="Normal (Web)"/>
    <w:basedOn w:val="Style_4_ch"/>
    <w:link w:val="Style_13"/>
    <w:rPr>
      <w:rFonts w:ascii="Times New Roman" w:hAnsi="Times New Roman"/>
    </w:rPr>
  </w:style>
  <w:style w:styleId="Style_14" w:type="paragraph">
    <w:name w:val="Balloon Text"/>
    <w:basedOn w:val="Style_4"/>
    <w:link w:val="Style_14_ch"/>
    <w:rPr>
      <w:rFonts w:ascii="Tahoma" w:hAnsi="Tahoma"/>
      <w:sz w:val="16"/>
    </w:rPr>
  </w:style>
  <w:style w:styleId="Style_14_ch" w:type="character">
    <w:name w:val="Balloon Text"/>
    <w:basedOn w:val="Style_4_ch"/>
    <w:link w:val="Style_14"/>
    <w:rPr>
      <w:rFonts w:ascii="Tahoma" w:hAnsi="Tahoma"/>
      <w:sz w:val="16"/>
    </w:rPr>
  </w:style>
  <w:style w:styleId="Style_15" w:type="paragraph">
    <w:name w:val="s_1"/>
    <w:basedOn w:val="Style_4"/>
    <w:link w:val="Style_15_ch"/>
    <w:pPr>
      <w:widowControl w:val="1"/>
      <w:spacing w:afterAutospacing="on" w:beforeAutospacing="on"/>
      <w:ind/>
    </w:pPr>
    <w:rPr>
      <w:rFonts w:ascii="Times New Roman" w:hAnsi="Times New Roman"/>
    </w:rPr>
  </w:style>
  <w:style w:styleId="Style_15_ch" w:type="character">
    <w:name w:val="s_1"/>
    <w:basedOn w:val="Style_4_ch"/>
    <w:link w:val="Style_15"/>
    <w:rPr>
      <w:rFonts w:ascii="Times New Roman" w:hAnsi="Times New Roman"/>
    </w:rPr>
  </w:style>
  <w:style w:styleId="Style_16" w:type="paragraph">
    <w:name w:val="ConsPlusNormal"/>
    <w:link w:val="Style_16_ch"/>
    <w:pPr>
      <w:widowControl w:val="0"/>
      <w:ind/>
    </w:pPr>
    <w:rPr>
      <w:rFonts w:ascii="Arial" w:hAnsi="Arial"/>
      <w:sz w:val="16"/>
    </w:rPr>
  </w:style>
  <w:style w:styleId="Style_16_ch" w:type="character">
    <w:name w:val="ConsPlusNormal"/>
    <w:link w:val="Style_16"/>
    <w:rPr>
      <w:rFonts w:ascii="Arial" w:hAnsi="Arial"/>
      <w:sz w:val="16"/>
    </w:rPr>
  </w:style>
  <w:style w:styleId="Style_17" w:type="paragraph">
    <w:name w:val="Body Text"/>
    <w:basedOn w:val="Style_4"/>
    <w:link w:val="Style_17_ch"/>
    <w:pPr>
      <w:widowControl w:val="1"/>
      <w:ind/>
      <w:jc w:val="both"/>
    </w:pPr>
    <w:rPr>
      <w:rFonts w:ascii="Calibri" w:hAnsi="Calibri"/>
    </w:rPr>
  </w:style>
  <w:style w:styleId="Style_17_ch" w:type="character">
    <w:name w:val="Body Text"/>
    <w:basedOn w:val="Style_4_ch"/>
    <w:link w:val="Style_17"/>
    <w:rPr>
      <w:rFonts w:ascii="Calibri" w:hAnsi="Calibri"/>
    </w:rPr>
  </w:style>
  <w:style w:styleId="Style_18" w:type="paragraph">
    <w:name w:val="Прижатый влево"/>
    <w:basedOn w:val="Style_4"/>
    <w:next w:val="Style_4"/>
    <w:link w:val="Style_18_ch"/>
    <w:rPr>
      <w:rFonts w:ascii="Times New Roman CYR" w:hAnsi="Times New Roman CYR"/>
    </w:rPr>
  </w:style>
  <w:style w:styleId="Style_18_ch" w:type="character">
    <w:name w:val="Прижатый влево"/>
    <w:basedOn w:val="Style_4_ch"/>
    <w:link w:val="Style_18"/>
    <w:rPr>
      <w:rFonts w:ascii="Times New Roman CYR" w:hAnsi="Times New Roman CYR"/>
    </w:rPr>
  </w:style>
  <w:style w:styleId="Style_19" w:type="paragraph">
    <w:name w:val="toc 3"/>
    <w:next w:val="Style_4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Emphasis"/>
    <w:link w:val="Style_20_ch"/>
    <w:rPr>
      <w:i w:val="1"/>
    </w:rPr>
  </w:style>
  <w:style w:styleId="Style_20_ch" w:type="character">
    <w:name w:val="Emphasis"/>
    <w:link w:val="Style_20"/>
    <w:rPr>
      <w:i w:val="1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1" w:type="paragraph">
    <w:name w:val="Гипертекстовая ссылка"/>
    <w:link w:val="Style_21_ch"/>
    <w:rPr>
      <w:color w:val="106BBE"/>
    </w:rPr>
  </w:style>
  <w:style w:styleId="Style_21_ch" w:type="character">
    <w:name w:val="Гипертекстовая ссылка"/>
    <w:link w:val="Style_21"/>
    <w:rPr>
      <w:color w:val="106BBE"/>
    </w:rPr>
  </w:style>
  <w:style w:styleId="Style_22" w:type="paragraph">
    <w:name w:val="heading 5"/>
    <w:next w:val="Style_4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basedOn w:val="Style_4"/>
    <w:next w:val="Style_4"/>
    <w:link w:val="Style_23_ch"/>
    <w:uiPriority w:val="9"/>
    <w:qFormat/>
    <w:pPr>
      <w:keepNext w:val="1"/>
      <w:keepLines w:val="1"/>
      <w:widowControl w:val="1"/>
      <w:spacing w:before="480"/>
      <w:ind/>
      <w:outlineLvl w:val="0"/>
    </w:pPr>
    <w:rPr>
      <w:rFonts w:ascii="Cambria" w:hAnsi="Cambria"/>
      <w:b w:val="1"/>
      <w:color w:val="365F91"/>
      <w:sz w:val="28"/>
    </w:rPr>
  </w:style>
  <w:style w:styleId="Style_23_ch" w:type="character">
    <w:name w:val="heading 1"/>
    <w:basedOn w:val="Style_4_ch"/>
    <w:link w:val="Style_23"/>
    <w:rPr>
      <w:rFonts w:ascii="Cambria" w:hAnsi="Cambria"/>
      <w:b w:val="1"/>
      <w:color w:val="365F91"/>
      <w:sz w:val="28"/>
    </w:rPr>
  </w:style>
  <w:style w:styleId="Style_24" w:type="paragraph">
    <w:name w:val="highlightsearch"/>
    <w:basedOn w:val="Style_25"/>
    <w:link w:val="Style_24_ch"/>
  </w:style>
  <w:style w:styleId="Style_24_ch" w:type="character">
    <w:name w:val="highlightsearch"/>
    <w:basedOn w:val="Style_25_ch"/>
    <w:link w:val="Style_24"/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basedOn w:val="Style_4"/>
    <w:link w:val="Style_27_ch"/>
    <w:pPr>
      <w:widowControl w:val="1"/>
      <w:ind/>
    </w:pPr>
    <w:rPr>
      <w:rFonts w:ascii="Times New Roman" w:hAnsi="Times New Roman"/>
      <w:sz w:val="20"/>
    </w:rPr>
  </w:style>
  <w:style w:styleId="Style_27_ch" w:type="character">
    <w:name w:val="Footnote"/>
    <w:basedOn w:val="Style_4_ch"/>
    <w:link w:val="Style_27"/>
    <w:rPr>
      <w:rFonts w:ascii="Times New Roman" w:hAnsi="Times New Roman"/>
      <w:sz w:val="20"/>
    </w:rPr>
  </w:style>
  <w:style w:styleId="Style_28" w:type="paragraph">
    <w:name w:val="toc 1"/>
    <w:next w:val="Style_4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Standard"/>
    <w:link w:val="Style_30_ch"/>
    <w:rPr>
      <w:rFonts w:ascii="Times New Roman" w:hAnsi="Times New Roman"/>
      <w:sz w:val="24"/>
    </w:rPr>
  </w:style>
  <w:style w:styleId="Style_30_ch" w:type="character">
    <w:name w:val="Standard"/>
    <w:link w:val="Style_30"/>
    <w:rPr>
      <w:rFonts w:ascii="Times New Roman" w:hAnsi="Times New Roman"/>
      <w:sz w:val="24"/>
    </w:rPr>
  </w:style>
  <w:style w:styleId="Style_31" w:type="paragraph">
    <w:name w:val="standardcxspmiddle"/>
    <w:basedOn w:val="Style_4"/>
    <w:link w:val="Style_31_ch"/>
    <w:pPr>
      <w:widowControl w:val="1"/>
      <w:spacing w:afterAutospacing="on" w:beforeAutospacing="on"/>
      <w:ind/>
    </w:pPr>
    <w:rPr>
      <w:rFonts w:ascii="Times New Roman" w:hAnsi="Times New Roman"/>
    </w:rPr>
  </w:style>
  <w:style w:styleId="Style_31_ch" w:type="character">
    <w:name w:val="standardcxspmiddle"/>
    <w:basedOn w:val="Style_4_ch"/>
    <w:link w:val="Style_31"/>
    <w:rPr>
      <w:rFonts w:ascii="Times New Roman" w:hAnsi="Times New Roman"/>
    </w:rPr>
  </w:style>
  <w:style w:styleId="Style_32" w:type="paragraph">
    <w:name w:val="footer"/>
    <w:basedOn w:val="Style_4"/>
    <w:link w:val="Style_32_ch"/>
    <w:pPr>
      <w:widowControl w:val="1"/>
      <w:tabs>
        <w:tab w:leader="none" w:pos="4677" w:val="center"/>
        <w:tab w:leader="none" w:pos="9355" w:val="right"/>
      </w:tabs>
      <w:ind/>
    </w:pPr>
  </w:style>
  <w:style w:styleId="Style_32_ch" w:type="character">
    <w:name w:val="footer"/>
    <w:basedOn w:val="Style_4_ch"/>
    <w:link w:val="Style_32"/>
  </w:style>
  <w:style w:styleId="Style_33" w:type="paragraph">
    <w:name w:val="toc 9"/>
    <w:next w:val="Style_4"/>
    <w:link w:val="Style_3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FollowedHyperlink"/>
    <w:link w:val="Style_34_ch"/>
    <w:rPr>
      <w:color w:val="800080"/>
      <w:u w:val="single"/>
    </w:rPr>
  </w:style>
  <w:style w:styleId="Style_34_ch" w:type="character">
    <w:name w:val="FollowedHyperlink"/>
    <w:link w:val="Style_34"/>
    <w:rPr>
      <w:color w:val="800080"/>
      <w:u w:val="single"/>
    </w:rPr>
  </w:style>
  <w:style w:styleId="Style_35" w:type="paragraph">
    <w:name w:val="toc 8"/>
    <w:next w:val="Style_4"/>
    <w:link w:val="Style_3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36" w:type="paragraph">
    <w:name w:val="ConsPlusNonformat"/>
    <w:link w:val="Style_36_ch"/>
    <w:pPr>
      <w:widowControl w:val="0"/>
      <w:ind/>
    </w:pPr>
    <w:rPr>
      <w:rFonts w:ascii="Courier New" w:hAnsi="Courier New"/>
    </w:rPr>
  </w:style>
  <w:style w:styleId="Style_36_ch" w:type="character">
    <w:name w:val="ConsPlusNonformat"/>
    <w:link w:val="Style_36"/>
    <w:rPr>
      <w:rFonts w:ascii="Courier New" w:hAnsi="Courier New"/>
    </w:rPr>
  </w:style>
  <w:style w:styleId="Style_37" w:type="paragraph">
    <w:name w:val="footnote reference"/>
    <w:link w:val="Style_37_ch"/>
    <w:rPr>
      <w:vertAlign w:val="superscript"/>
    </w:rPr>
  </w:style>
  <w:style w:styleId="Style_37_ch" w:type="character">
    <w:name w:val="footnote reference"/>
    <w:link w:val="Style_37"/>
    <w:rPr>
      <w:vertAlign w:val="superscript"/>
    </w:rPr>
  </w:style>
  <w:style w:styleId="Style_38" w:type="paragraph">
    <w:name w:val="Цветовое выделение"/>
    <w:link w:val="Style_38_ch"/>
    <w:rPr>
      <w:b w:val="1"/>
      <w:color w:val="26282F"/>
    </w:rPr>
  </w:style>
  <w:style w:styleId="Style_38_ch" w:type="character">
    <w:name w:val="Цветовое выделение"/>
    <w:link w:val="Style_38"/>
    <w:rPr>
      <w:b w:val="1"/>
      <w:color w:val="26282F"/>
    </w:rPr>
  </w:style>
  <w:style w:styleId="Style_39" w:type="paragraph">
    <w:name w:val="toc 5"/>
    <w:next w:val="Style_4"/>
    <w:link w:val="Style_3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" w:type="paragraph">
    <w:name w:val="List Paragraph"/>
    <w:basedOn w:val="Style_4"/>
    <w:link w:val="Style_2_ch"/>
    <w:pPr>
      <w:widowControl w:val="1"/>
      <w:ind w:left="720"/>
      <w:contextualSpacing w:val="1"/>
    </w:pPr>
  </w:style>
  <w:style w:styleId="Style_2_ch" w:type="character">
    <w:name w:val="List Paragraph"/>
    <w:basedOn w:val="Style_4_ch"/>
    <w:link w:val="Style_2"/>
  </w:style>
  <w:style w:styleId="Style_40" w:type="paragraph">
    <w:name w:val="Subtitle"/>
    <w:next w:val="Style_4"/>
    <w:link w:val="Style_4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0_ch" w:type="character">
    <w:name w:val="Subtitle"/>
    <w:link w:val="Style_40"/>
    <w:rPr>
      <w:rFonts w:ascii="XO Thames" w:hAnsi="XO Thames"/>
      <w:i w:val="1"/>
      <w:sz w:val="24"/>
    </w:rPr>
  </w:style>
  <w:style w:styleId="Style_41" w:type="paragraph">
    <w:name w:val="Абзац списка1"/>
    <w:basedOn w:val="Style_4"/>
    <w:link w:val="Style_41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41_ch" w:type="character">
    <w:name w:val="Абзац списка1"/>
    <w:basedOn w:val="Style_4_ch"/>
    <w:link w:val="Style_41"/>
    <w:rPr>
      <w:rFonts w:ascii="Calibri" w:hAnsi="Calibri"/>
      <w:sz w:val="22"/>
    </w:rPr>
  </w:style>
  <w:style w:styleId="Style_42" w:type="paragraph">
    <w:name w:val="Title"/>
    <w:next w:val="Style_4"/>
    <w:link w:val="Style_4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2_ch" w:type="character">
    <w:name w:val="Title"/>
    <w:link w:val="Style_42"/>
    <w:rPr>
      <w:rFonts w:ascii="XO Thames" w:hAnsi="XO Thames"/>
      <w:b w:val="1"/>
      <w:caps w:val="1"/>
      <w:sz w:val="40"/>
    </w:rPr>
  </w:style>
  <w:style w:styleId="Style_43" w:type="paragraph">
    <w:name w:val="heading 4"/>
    <w:next w:val="Style_4"/>
    <w:link w:val="Style_4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3_ch" w:type="character">
    <w:name w:val="heading 4"/>
    <w:link w:val="Style_43"/>
    <w:rPr>
      <w:rFonts w:ascii="XO Thames" w:hAnsi="XO Thames"/>
      <w:b w:val="1"/>
      <w:sz w:val="24"/>
    </w:rPr>
  </w:style>
  <w:style w:styleId="Style_44" w:type="paragraph">
    <w:name w:val="heading 2"/>
    <w:next w:val="Style_4"/>
    <w:link w:val="Style_4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4_ch" w:type="character">
    <w:name w:val="heading 2"/>
    <w:link w:val="Style_44"/>
    <w:rPr>
      <w:rFonts w:ascii="XO Thames" w:hAnsi="XO Thames"/>
      <w:b w:val="1"/>
      <w:sz w:val="28"/>
    </w:rPr>
  </w:style>
  <w:style w:styleId="Style_45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2026-05-21T03:03:56Z</dcterms:created>
  <dcterms:modified xsi:type="dcterms:W3CDTF">2026-05-21T03:03:56Z</dcterms:modified>
</cp:coreProperties>
</file>