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7FF5A" w14:textId="77777777" w:rsidR="00360E98" w:rsidRDefault="00360E98">
      <w:pPr>
        <w:keepNext/>
        <w:jc w:val="center"/>
        <w:rPr>
          <w:rFonts w:ascii="XO Thames" w:hAnsi="XO Thames"/>
          <w:sz w:val="28"/>
          <w:szCs w:val="28"/>
        </w:rPr>
      </w:pPr>
    </w:p>
    <w:p w14:paraId="25CC0F02" w14:textId="2313A406" w:rsidR="0094465E" w:rsidRPr="0094465E" w:rsidRDefault="0094465E">
      <w:pPr>
        <w:keepNext/>
        <w:jc w:val="center"/>
        <w:rPr>
          <w:rFonts w:ascii="XO Thames" w:hAnsi="XO Thames"/>
          <w:b/>
          <w:bCs/>
          <w:sz w:val="28"/>
          <w:szCs w:val="28"/>
        </w:rPr>
      </w:pPr>
      <w:r w:rsidRPr="0094465E">
        <w:rPr>
          <w:rFonts w:ascii="XO Thames" w:hAnsi="XO Thames"/>
          <w:b/>
          <w:bCs/>
          <w:sz w:val="28"/>
          <w:szCs w:val="28"/>
        </w:rPr>
        <w:t xml:space="preserve">О </w:t>
      </w:r>
      <w:r w:rsidRPr="0094465E">
        <w:rPr>
          <w:rFonts w:ascii="XO Thames" w:hAnsi="XO Thames"/>
          <w:b/>
          <w:bCs/>
          <w:sz w:val="28"/>
          <w:szCs w:val="28"/>
        </w:rPr>
        <w:t>размещении проекта отчета, составленного по результатам определения кадастровой стоимости земельных участков, расположенных на территории Кемеровской области – Кузбасса</w:t>
      </w:r>
    </w:p>
    <w:p w14:paraId="627A1F2A" w14:textId="77777777" w:rsidR="0094465E" w:rsidRPr="0094465E" w:rsidRDefault="0094465E">
      <w:pPr>
        <w:keepNext/>
        <w:jc w:val="center"/>
        <w:rPr>
          <w:rFonts w:ascii="XO Thames" w:hAnsi="XO Thames"/>
          <w:b/>
          <w:bCs/>
          <w:sz w:val="28"/>
          <w:szCs w:val="28"/>
        </w:rPr>
      </w:pPr>
    </w:p>
    <w:p w14:paraId="41CBF4BD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В соответствии со статьей 14 Федерального закона от 03.07.2016                     № 237-ФЗ «О государственной кадастровой оценке» (далее – Закон                            о кадастровой оценке) Комитет по управлению государственным имуществом Кузбасса (далее – Комитет) информирует о размещении проекта отчета, составленного по результатам определения кадастровой стоимости земельных участков, расположенных на территории Кемеровской области – Кузбасса в фонде данных государственной кадастровой оценки.</w:t>
      </w:r>
    </w:p>
    <w:p w14:paraId="4878D6B8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 xml:space="preserve">Проект отчета размещен в разделе «Фонд данных государственной кадастровой оценки» федеральной государственной географической информационной системы «Единая цифровая платформа «Национальная система пространственных данных» - </w:t>
      </w:r>
      <w:hyperlink r:id="rId6">
        <w:r>
          <w:rPr>
            <w:rStyle w:val="a3"/>
            <w:rFonts w:ascii="XO Thames" w:hAnsi="XO Thames"/>
            <w:color w:val="000000"/>
            <w:sz w:val="28"/>
            <w:szCs w:val="28"/>
          </w:rPr>
          <w:t>https://nspd.gov.ru/cadastral-price/draft-reports</w:t>
        </w:r>
      </w:hyperlink>
      <w:r>
        <w:rPr>
          <w:rFonts w:ascii="XO Thames" w:hAnsi="XO Thames"/>
          <w:sz w:val="28"/>
          <w:szCs w:val="28"/>
        </w:rPr>
        <w:t xml:space="preserve">, а также на официальном сайте ГБУ «Центр ГКО и ТИ Кузбасса» - </w:t>
      </w:r>
      <w:hyperlink r:id="rId7">
        <w:r>
          <w:rPr>
            <w:rStyle w:val="a3"/>
            <w:rFonts w:ascii="XO Thames" w:hAnsi="XO Thames"/>
            <w:color w:val="000000"/>
            <w:sz w:val="28"/>
            <w:szCs w:val="28"/>
          </w:rPr>
          <w:t>https://www.ctikem.ru/proekt2026_2/</w:t>
        </w:r>
      </w:hyperlink>
      <w:r>
        <w:rPr>
          <w:rFonts w:ascii="XO Thames" w:hAnsi="XO Thames"/>
          <w:sz w:val="28"/>
          <w:szCs w:val="28"/>
        </w:rPr>
        <w:t xml:space="preserve"> .</w:t>
      </w:r>
    </w:p>
    <w:p w14:paraId="5ED22570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Дата окончания ознакомления с проектом отчета – 03.10.2026.</w:t>
      </w:r>
    </w:p>
    <w:p w14:paraId="3EF3164D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Дата окончания приема замечаний к проекту отчета – 03.10.2026.</w:t>
      </w:r>
    </w:p>
    <w:p w14:paraId="0EAB4EEF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В соответствии с положениями статьи 14 Закона о кадастровой оценке 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 для представления замечаний к нему.</w:t>
      </w:r>
    </w:p>
    <w:p w14:paraId="5CFFDAD3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 xml:space="preserve">Замечания к проекту отчета могут быть представлены в ГБУ «Центр ГКО и ТИ Кузбасса» лично, регистрируемым почтовым отправлением                        с уведомлением о вручении или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государственную информационную систему. </w:t>
      </w:r>
    </w:p>
    <w:p w14:paraId="5E7AACBD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Днем представления замечаний к проекту отчета считается день их представления в ГБУ «Центр ГКО и ТИ Кузбасса»,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                                 с уведомлением о вручении), либо день его подачи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государственную информационную систему.</w:t>
      </w:r>
    </w:p>
    <w:p w14:paraId="2341B191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2A45D886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</w:t>
      </w:r>
      <w:r>
        <w:rPr>
          <w:rFonts w:ascii="XO Thames" w:hAnsi="XO Thames"/>
          <w:sz w:val="28"/>
          <w:szCs w:val="28"/>
        </w:rPr>
        <w:lastRenderedPageBreak/>
        <w:t>телефона, адрес электронной почты (при наличии) лица, представившего замечание к проекту отчета;</w:t>
      </w:r>
    </w:p>
    <w:p w14:paraId="54906625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2AB6EA3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3) указание на номера страниц (разделов) проекта отчета, к которым представляется замечание (при необходимости).</w:t>
      </w:r>
    </w:p>
    <w:p w14:paraId="45C02AD9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7838932E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Замечания к проекту отчета, не соответствующие требованиям, установленным статьей 14 Закона о кадастровой оценке, не подлежат рассмотрению.</w:t>
      </w:r>
    </w:p>
    <w:p w14:paraId="2D734F70" w14:textId="77777777" w:rsidR="00360E98" w:rsidRDefault="00000000">
      <w:pPr>
        <w:ind w:firstLine="680"/>
        <w:jc w:val="both"/>
      </w:pPr>
      <w:r>
        <w:rPr>
          <w:rFonts w:ascii="XO Thames" w:hAnsi="XO Thames"/>
          <w:sz w:val="28"/>
          <w:szCs w:val="28"/>
        </w:rPr>
        <w:t>Иная форма представления Замечаний к проекту отчета (в том числе предоставление замечаний к проекту отчета в Росреестр либо в Комитет) действующим законодательством не предусмотрена.</w:t>
      </w:r>
    </w:p>
    <w:p w14:paraId="3BBB3BC0" w14:textId="77777777" w:rsidR="00360E98" w:rsidRDefault="00000000">
      <w:pPr>
        <w:ind w:firstLine="737"/>
        <w:jc w:val="both"/>
      </w:pPr>
      <w:r>
        <w:rPr>
          <w:rFonts w:ascii="XO Thames" w:hAnsi="XO Thames"/>
          <w:sz w:val="28"/>
          <w:szCs w:val="28"/>
        </w:rPr>
        <w:t>Обращаем Ваше внимание, что в соответствии со ст.14 Закона о кадастровой оценке органы местного самоуправления поселений, муниципальных районов, городских округов, муниципальных округов в течение пяти рабочих дней со дня поступления от уполномоченного органа субъекта Российской Федерации вышеуказанной информации, обеспечивают информирование заинтересованных лиц о размещении проекта отчета, месте его размещения, порядке и сроках представления замечаний к нему, а также об объектах недвижимости, в отношении которых проводится государственная кадастровая оценка, путем размещения извещения и копии решения о проведении государственной кадастровой оценки на своих официальных сайтах в информационно-телекоммуникационной сети «Интернет» (при их наличии), опубликования извещения в печатных средствах массовой информации, а также размещения извещения на своих информационных щитах.</w:t>
      </w:r>
    </w:p>
    <w:p w14:paraId="18F01A35" w14:textId="77777777" w:rsidR="00360E98" w:rsidRDefault="00360E98">
      <w:pPr>
        <w:ind w:firstLine="737"/>
        <w:jc w:val="both"/>
        <w:rPr>
          <w:rFonts w:ascii="XO Thames" w:hAnsi="XO Thames"/>
          <w:sz w:val="28"/>
          <w:szCs w:val="28"/>
        </w:rPr>
      </w:pPr>
    </w:p>
    <w:p w14:paraId="55DCDD72" w14:textId="77777777" w:rsidR="00360E98" w:rsidRDefault="00360E98">
      <w:pPr>
        <w:ind w:hanging="57"/>
        <w:jc w:val="both"/>
        <w:rPr>
          <w:rFonts w:ascii="XO Thames" w:hAnsi="XO Thames"/>
        </w:rPr>
      </w:pPr>
    </w:p>
    <w:sectPr w:rsidR="00360E98">
      <w:footerReference w:type="default" r:id="rId8"/>
      <w:pgSz w:w="11906" w:h="16838"/>
      <w:pgMar w:top="568" w:right="707" w:bottom="1480" w:left="1701" w:header="0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A5029" w14:textId="77777777" w:rsidR="00572A65" w:rsidRDefault="00572A65">
      <w:r>
        <w:separator/>
      </w:r>
    </w:p>
  </w:endnote>
  <w:endnote w:type="continuationSeparator" w:id="0">
    <w:p w14:paraId="473D42A4" w14:textId="77777777" w:rsidR="00572A65" w:rsidRDefault="0057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4748"/>
      <w:gridCol w:w="4750"/>
    </w:tblGrid>
    <w:tr w:rsidR="00360E98" w14:paraId="10534960" w14:textId="77777777">
      <w:trPr>
        <w:trHeight w:val="360"/>
      </w:trPr>
      <w:tc>
        <w:tcPr>
          <w:tcW w:w="4748" w:type="dxa"/>
        </w:tcPr>
        <w:p w14:paraId="2C1A7001" w14:textId="77777777" w:rsidR="00360E98" w:rsidRDefault="00000000">
          <w:pPr>
            <w:widowControl w:val="0"/>
            <w:ind w:hanging="57"/>
            <w:jc w:val="both"/>
            <w:rPr>
              <w:rFonts w:ascii="XO Thames" w:hAnsi="XO Thames"/>
            </w:rPr>
          </w:pPr>
          <w:proofErr w:type="spellStart"/>
          <w:r>
            <w:rPr>
              <w:rFonts w:ascii="XO Thames" w:hAnsi="XO Thames"/>
            </w:rPr>
            <w:t>Розыграева</w:t>
          </w:r>
          <w:proofErr w:type="spellEnd"/>
          <w:r>
            <w:rPr>
              <w:rFonts w:ascii="XO Thames" w:hAnsi="XO Thames"/>
            </w:rPr>
            <w:t xml:space="preserve"> Светлана Игоревна</w:t>
          </w:r>
        </w:p>
        <w:p w14:paraId="0D47AF02" w14:textId="77777777" w:rsidR="00360E98" w:rsidRDefault="00000000">
          <w:pPr>
            <w:widowControl w:val="0"/>
            <w:ind w:hanging="57"/>
            <w:jc w:val="both"/>
            <w:rPr>
              <w:rFonts w:ascii="XO Thames" w:hAnsi="XO Thames"/>
            </w:rPr>
          </w:pPr>
          <w:r>
            <w:rPr>
              <w:rFonts w:ascii="XO Thames" w:hAnsi="XO Thames"/>
            </w:rPr>
            <w:t>8(3842)36-44-26</w:t>
          </w:r>
        </w:p>
      </w:tc>
      <w:tc>
        <w:tcPr>
          <w:tcW w:w="4749" w:type="dxa"/>
        </w:tcPr>
        <w:p w14:paraId="12118EA3" w14:textId="77777777" w:rsidR="00360E98" w:rsidRDefault="00000000">
          <w:pPr>
            <w:widowControl w:val="0"/>
            <w:tabs>
              <w:tab w:val="center" w:pos="4677"/>
              <w:tab w:val="right" w:pos="9355"/>
            </w:tabs>
            <w:jc w:val="right"/>
          </w:pPr>
          <w:r>
            <w:rPr>
              <w:noProof/>
            </w:rPr>
            <w:drawing>
              <wp:inline distT="0" distB="0" distL="0" distR="0" wp14:anchorId="2999B17D" wp14:editId="083AE33A">
                <wp:extent cx="668020" cy="659765"/>
                <wp:effectExtent l="0" t="0" r="0" b="0"/>
                <wp:docPr id="3" name="Изображение1 Копи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Изображение1 Копи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8020" cy="659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699AB74" w14:textId="77777777" w:rsidR="00360E98" w:rsidRDefault="00000000">
          <w:pPr>
            <w:widowControl w:val="0"/>
            <w:tabs>
              <w:tab w:val="center" w:pos="4677"/>
              <w:tab w:val="right" w:pos="9355"/>
            </w:tabs>
            <w:jc w:val="right"/>
            <w:rPr>
              <w:rFonts w:ascii="XO Thames" w:hAnsi="XO Thames"/>
              <w:sz w:val="14"/>
              <w:szCs w:val="14"/>
            </w:rPr>
          </w:pPr>
          <w:r>
            <w:rPr>
              <w:rFonts w:ascii="XO Thames" w:hAnsi="XO Thames"/>
              <w:sz w:val="14"/>
              <w:szCs w:val="14"/>
            </w:rPr>
            <w:t>Самое актуальное здесь!</w:t>
          </w:r>
        </w:p>
      </w:tc>
    </w:tr>
  </w:tbl>
  <w:p w14:paraId="66329F3F" w14:textId="77777777" w:rsidR="00360E98" w:rsidRDefault="00360E98">
    <w:pPr>
      <w:pStyle w:val="ac"/>
      <w:rPr>
        <w:rFonts w:ascii="XO Thames" w:hAnsi="XO Tham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02EAC" w14:textId="77777777" w:rsidR="00572A65" w:rsidRDefault="00572A65">
      <w:r>
        <w:separator/>
      </w:r>
    </w:p>
  </w:footnote>
  <w:footnote w:type="continuationSeparator" w:id="0">
    <w:p w14:paraId="350D4BFB" w14:textId="77777777" w:rsidR="00572A65" w:rsidRDefault="00572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E98"/>
    <w:rsid w:val="00360E98"/>
    <w:rsid w:val="00572A65"/>
    <w:rsid w:val="006A54D7"/>
    <w:rsid w:val="0094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4C66"/>
  <w15:docId w15:val="{AA0297F9-58B0-44D1-8178-770CB239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ahoma" w:hAnsi="Calibri" w:cs="Tahoma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  <w:rPr>
      <w:rFonts w:ascii="Times New Roman" w:hAnsi="Times New Roman"/>
      <w:sz w:val="24"/>
      <w:szCs w:val="24"/>
    </w:rPr>
  </w:style>
  <w:style w:type="paragraph" w:styleId="1">
    <w:name w:val="heading 1"/>
    <w:next w:val="a"/>
    <w:uiPriority w:val="9"/>
    <w:qFormat/>
    <w:pPr>
      <w:widowControl w:val="0"/>
      <w:overflowPunct w:val="0"/>
      <w:spacing w:before="120" w:after="120"/>
      <w:jc w:val="both"/>
      <w:outlineLvl w:val="0"/>
    </w:pPr>
    <w:rPr>
      <w:rFonts w:ascii="XO Thames" w:hAnsi="XO Thames"/>
      <w:b/>
      <w:bCs/>
      <w:sz w:val="32"/>
      <w:szCs w:val="32"/>
    </w:rPr>
  </w:style>
  <w:style w:type="paragraph" w:styleId="2">
    <w:name w:val="heading 2"/>
    <w:next w:val="a"/>
    <w:uiPriority w:val="9"/>
    <w:semiHidden/>
    <w:unhideWhenUsed/>
    <w:qFormat/>
    <w:pPr>
      <w:widowControl w:val="0"/>
      <w:overflowPunct w:val="0"/>
      <w:spacing w:before="120" w:after="120"/>
      <w:jc w:val="both"/>
      <w:outlineLvl w:val="1"/>
    </w:pPr>
    <w:rPr>
      <w:rFonts w:ascii="XO Thames" w:hAnsi="XO Thames"/>
      <w:b/>
      <w:bCs/>
      <w:sz w:val="28"/>
      <w:szCs w:val="28"/>
    </w:rPr>
  </w:style>
  <w:style w:type="paragraph" w:styleId="3">
    <w:name w:val="heading 3"/>
    <w:next w:val="a"/>
    <w:uiPriority w:val="9"/>
    <w:semiHidden/>
    <w:unhideWhenUsed/>
    <w:qFormat/>
    <w:pPr>
      <w:widowControl w:val="0"/>
      <w:overflowPunct w:val="0"/>
      <w:spacing w:before="120" w:after="120"/>
      <w:jc w:val="both"/>
      <w:outlineLvl w:val="2"/>
    </w:pPr>
    <w:rPr>
      <w:rFonts w:ascii="XO Thames" w:hAnsi="XO Thames"/>
      <w:b/>
      <w:bCs/>
      <w:sz w:val="26"/>
      <w:szCs w:val="26"/>
    </w:rPr>
  </w:style>
  <w:style w:type="paragraph" w:styleId="4">
    <w:name w:val="heading 4"/>
    <w:next w:val="a"/>
    <w:uiPriority w:val="9"/>
    <w:semiHidden/>
    <w:unhideWhenUsed/>
    <w:qFormat/>
    <w:pPr>
      <w:widowControl w:val="0"/>
      <w:overflowPunct w:val="0"/>
      <w:spacing w:before="120" w:after="120"/>
      <w:jc w:val="both"/>
      <w:outlineLvl w:val="3"/>
    </w:pPr>
    <w:rPr>
      <w:rFonts w:ascii="XO Thames" w:hAnsi="XO Thames"/>
      <w:b/>
      <w:bCs/>
      <w:sz w:val="24"/>
      <w:szCs w:val="24"/>
    </w:rPr>
  </w:style>
  <w:style w:type="paragraph" w:styleId="5">
    <w:name w:val="heading 5"/>
    <w:next w:val="a"/>
    <w:uiPriority w:val="9"/>
    <w:semiHidden/>
    <w:unhideWhenUsed/>
    <w:qFormat/>
    <w:pPr>
      <w:widowControl w:val="0"/>
      <w:overflowPunct w:val="0"/>
      <w:spacing w:before="120" w:after="120"/>
      <w:jc w:val="both"/>
      <w:outlineLvl w:val="4"/>
    </w:pPr>
    <w:rPr>
      <w:rFonts w:ascii="XO Thames" w:hAnsi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next w:val="a5"/>
    <w:uiPriority w:val="10"/>
    <w:qFormat/>
    <w:pPr>
      <w:widowControl w:val="0"/>
      <w:overflowPunct w:val="0"/>
      <w:spacing w:before="567" w:after="567"/>
      <w:jc w:val="center"/>
    </w:pPr>
    <w:rPr>
      <w:rFonts w:ascii="XO Thames" w:hAnsi="XO Thames"/>
      <w:b/>
      <w:bCs/>
      <w:caps/>
      <w:sz w:val="40"/>
      <w:szCs w:val="40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pacing w:before="120" w:after="120"/>
    </w:pPr>
    <w:rPr>
      <w:i/>
      <w:iCs/>
    </w:rPr>
  </w:style>
  <w:style w:type="paragraph" w:styleId="a8">
    <w:name w:val="index heading"/>
    <w:basedOn w:val="a"/>
    <w:qFormat/>
  </w:style>
  <w:style w:type="paragraph" w:styleId="20">
    <w:name w:val="toc 2"/>
    <w:next w:val="a"/>
    <w:pPr>
      <w:widowControl w:val="0"/>
      <w:overflowPunct w:val="0"/>
      <w:ind w:left="200"/>
    </w:pPr>
    <w:rPr>
      <w:rFonts w:ascii="XO Thames" w:hAnsi="XO Thames"/>
      <w:sz w:val="28"/>
      <w:szCs w:val="28"/>
    </w:rPr>
  </w:style>
  <w:style w:type="paragraph" w:styleId="40">
    <w:name w:val="toc 4"/>
    <w:next w:val="a"/>
    <w:pPr>
      <w:widowControl w:val="0"/>
      <w:overflowPunct w:val="0"/>
      <w:ind w:left="600"/>
    </w:pPr>
    <w:rPr>
      <w:rFonts w:ascii="XO Thames" w:hAnsi="XO Thames"/>
      <w:sz w:val="28"/>
      <w:szCs w:val="28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List Paragraph"/>
    <w:basedOn w:val="a"/>
    <w:qFormat/>
    <w:pPr>
      <w:ind w:left="720"/>
      <w:contextualSpacing/>
    </w:pPr>
  </w:style>
  <w:style w:type="paragraph" w:styleId="6">
    <w:name w:val="toc 6"/>
    <w:next w:val="a"/>
    <w:pPr>
      <w:widowControl w:val="0"/>
      <w:overflowPunct w:val="0"/>
      <w:ind w:left="1000"/>
    </w:pPr>
    <w:rPr>
      <w:rFonts w:ascii="XO Thames" w:hAnsi="XO Thames"/>
      <w:sz w:val="28"/>
      <w:szCs w:val="28"/>
    </w:rPr>
  </w:style>
  <w:style w:type="paragraph" w:styleId="7">
    <w:name w:val="toc 7"/>
    <w:next w:val="a"/>
    <w:pPr>
      <w:widowControl w:val="0"/>
      <w:overflowPunct w:val="0"/>
      <w:ind w:left="1200"/>
    </w:pPr>
    <w:rPr>
      <w:rFonts w:ascii="XO Thames" w:hAnsi="XO Thames"/>
      <w:sz w:val="28"/>
      <w:szCs w:val="28"/>
    </w:rPr>
  </w:style>
  <w:style w:type="paragraph" w:customStyle="1" w:styleId="ListLabel9">
    <w:name w:val="ListLabel 9"/>
    <w:qFormat/>
    <w:pPr>
      <w:widowControl w:val="0"/>
      <w:overflowPunct w:val="0"/>
    </w:pPr>
  </w:style>
  <w:style w:type="paragraph" w:customStyle="1" w:styleId="ListLabel3">
    <w:name w:val="ListLabel 3"/>
    <w:qFormat/>
    <w:pPr>
      <w:widowControl w:val="0"/>
      <w:overflowPunct w:val="0"/>
    </w:pPr>
  </w:style>
  <w:style w:type="paragraph" w:customStyle="1" w:styleId="ListLabel5">
    <w:name w:val="ListLabel 5"/>
    <w:qFormat/>
    <w:pPr>
      <w:widowControl w:val="0"/>
      <w:overflowPunct w:val="0"/>
    </w:pPr>
  </w:style>
  <w:style w:type="paragraph" w:styleId="30">
    <w:name w:val="toc 3"/>
    <w:next w:val="a"/>
    <w:pPr>
      <w:widowControl w:val="0"/>
      <w:overflowPunct w:val="0"/>
      <w:ind w:left="400"/>
    </w:pPr>
    <w:rPr>
      <w:rFonts w:ascii="XO Thames" w:hAnsi="XO Thames"/>
      <w:sz w:val="28"/>
      <w:szCs w:val="28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ListLabel8">
    <w:name w:val="ListLabel 8"/>
    <w:qFormat/>
    <w:pPr>
      <w:widowControl w:val="0"/>
      <w:overflowPunct w:val="0"/>
    </w:pPr>
  </w:style>
  <w:style w:type="paragraph" w:customStyle="1" w:styleId="ad">
    <w:name w:val="Нижний колонтитул Знак"/>
    <w:qFormat/>
    <w:pPr>
      <w:widowControl w:val="0"/>
      <w:overflowPunct w:val="0"/>
    </w:pPr>
    <w:rPr>
      <w:rFonts w:ascii="Times New Roman" w:hAnsi="Times New Roman"/>
      <w:sz w:val="24"/>
      <w:szCs w:val="24"/>
    </w:rPr>
  </w:style>
  <w:style w:type="paragraph" w:customStyle="1" w:styleId="ae">
    <w:name w:val="Текст выноски Знак"/>
    <w:qFormat/>
    <w:pPr>
      <w:widowControl w:val="0"/>
      <w:overflowPunct w:val="0"/>
    </w:pPr>
    <w:rPr>
      <w:rFonts w:ascii="Segoe UI" w:hAnsi="Segoe UI"/>
      <w:sz w:val="18"/>
      <w:szCs w:val="18"/>
    </w:rPr>
  </w:style>
  <w:style w:type="paragraph" w:customStyle="1" w:styleId="Internetlink">
    <w:name w:val="Internet link"/>
    <w:basedOn w:val="10"/>
    <w:qFormat/>
    <w:rPr>
      <w:color w:val="0563C1"/>
      <w:u w:val="single"/>
    </w:rPr>
  </w:style>
  <w:style w:type="paragraph" w:styleId="af">
    <w:name w:val="footnote text"/>
    <w:pPr>
      <w:widowControl w:val="0"/>
      <w:overflowPunct w:val="0"/>
      <w:ind w:firstLine="851"/>
      <w:jc w:val="both"/>
    </w:pPr>
    <w:rPr>
      <w:rFonts w:ascii="XO Thames" w:hAnsi="XO Thames"/>
      <w:sz w:val="22"/>
      <w:szCs w:val="22"/>
    </w:rPr>
  </w:style>
  <w:style w:type="paragraph" w:styleId="11">
    <w:name w:val="toc 1"/>
    <w:next w:val="a"/>
    <w:pPr>
      <w:widowControl w:val="0"/>
      <w:overflowPunct w:val="0"/>
    </w:pPr>
    <w:rPr>
      <w:rFonts w:ascii="XO Thames" w:hAnsi="XO Thames"/>
      <w:b/>
      <w:bCs/>
      <w:sz w:val="28"/>
      <w:szCs w:val="28"/>
    </w:rPr>
  </w:style>
  <w:style w:type="paragraph" w:customStyle="1" w:styleId="ListLabel6">
    <w:name w:val="ListLabel 6"/>
    <w:qFormat/>
    <w:pPr>
      <w:widowControl w:val="0"/>
      <w:overflowPunct w:val="0"/>
    </w:pPr>
  </w:style>
  <w:style w:type="paragraph" w:styleId="af0">
    <w:name w:val="Balloon Text"/>
    <w:basedOn w:val="a"/>
    <w:qFormat/>
    <w:rPr>
      <w:rFonts w:ascii="Segoe UI" w:hAnsi="Segoe UI"/>
      <w:sz w:val="18"/>
      <w:szCs w:val="18"/>
    </w:rPr>
  </w:style>
  <w:style w:type="paragraph" w:customStyle="1" w:styleId="af1">
    <w:name w:val="Верхний колонтитул Знак"/>
    <w:qFormat/>
    <w:pPr>
      <w:widowControl w:val="0"/>
      <w:overflowPunct w:val="0"/>
    </w:pPr>
    <w:rPr>
      <w:rFonts w:ascii="Times New Roman" w:hAnsi="Times New Roman"/>
      <w:sz w:val="24"/>
      <w:szCs w:val="24"/>
    </w:rPr>
  </w:style>
  <w:style w:type="paragraph" w:styleId="9">
    <w:name w:val="toc 9"/>
    <w:next w:val="a"/>
    <w:pPr>
      <w:widowControl w:val="0"/>
      <w:overflowPunct w:val="0"/>
      <w:ind w:left="1600"/>
    </w:pPr>
    <w:rPr>
      <w:rFonts w:ascii="XO Thames" w:hAnsi="XO Thames"/>
      <w:sz w:val="28"/>
      <w:szCs w:val="28"/>
    </w:rPr>
  </w:style>
  <w:style w:type="paragraph" w:customStyle="1" w:styleId="af2">
    <w:name w:val="Содержимое таблицы"/>
    <w:basedOn w:val="a"/>
    <w:qFormat/>
    <w:pPr>
      <w:widowControl w:val="0"/>
    </w:pPr>
  </w:style>
  <w:style w:type="paragraph" w:customStyle="1" w:styleId="ListLabel1">
    <w:name w:val="ListLabel 1"/>
    <w:qFormat/>
    <w:pPr>
      <w:widowControl w:val="0"/>
      <w:overflowPunct w:val="0"/>
    </w:pPr>
  </w:style>
  <w:style w:type="paragraph" w:styleId="8">
    <w:name w:val="toc 8"/>
    <w:next w:val="a"/>
    <w:pPr>
      <w:widowControl w:val="0"/>
      <w:overflowPunct w:val="0"/>
      <w:ind w:left="1400"/>
    </w:pPr>
    <w:rPr>
      <w:rFonts w:ascii="XO Thames" w:hAnsi="XO Thames"/>
      <w:sz w:val="28"/>
      <w:szCs w:val="28"/>
    </w:rPr>
  </w:style>
  <w:style w:type="paragraph" w:customStyle="1" w:styleId="ListLabel7">
    <w:name w:val="ListLabel 7"/>
    <w:qFormat/>
    <w:pPr>
      <w:widowControl w:val="0"/>
      <w:overflowPunct w:val="0"/>
    </w:pPr>
  </w:style>
  <w:style w:type="paragraph" w:customStyle="1" w:styleId="ListLabel4">
    <w:name w:val="ListLabel 4"/>
    <w:qFormat/>
    <w:pPr>
      <w:widowControl w:val="0"/>
      <w:overflowPunct w:val="0"/>
    </w:pPr>
  </w:style>
  <w:style w:type="paragraph" w:styleId="50">
    <w:name w:val="toc 5"/>
    <w:next w:val="a"/>
    <w:pPr>
      <w:widowControl w:val="0"/>
      <w:overflowPunct w:val="0"/>
      <w:ind w:left="800"/>
    </w:pPr>
    <w:rPr>
      <w:rFonts w:ascii="XO Thames" w:hAnsi="XO Thames"/>
      <w:sz w:val="28"/>
      <w:szCs w:val="28"/>
    </w:rPr>
  </w:style>
  <w:style w:type="paragraph" w:customStyle="1" w:styleId="ListLabel2">
    <w:name w:val="ListLabel 2"/>
    <w:qFormat/>
    <w:pPr>
      <w:widowControl w:val="0"/>
      <w:overflowPunct w:val="0"/>
    </w:pPr>
  </w:style>
  <w:style w:type="paragraph" w:styleId="af3">
    <w:name w:val="Subtitle"/>
    <w:next w:val="a"/>
    <w:uiPriority w:val="11"/>
    <w:qFormat/>
    <w:pPr>
      <w:widowControl w:val="0"/>
      <w:overflowPunct w:val="0"/>
      <w:jc w:val="both"/>
    </w:pPr>
    <w:rPr>
      <w:rFonts w:ascii="XO Thames" w:hAnsi="XO Thames"/>
      <w:i/>
      <w:iCs/>
      <w:sz w:val="24"/>
      <w:szCs w:val="24"/>
    </w:rPr>
  </w:style>
  <w:style w:type="paragraph" w:customStyle="1" w:styleId="10">
    <w:name w:val="Основной шрифт абзаца1"/>
    <w:qFormat/>
    <w:pPr>
      <w:widowControl w:val="0"/>
      <w:overflowPunct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ctikem.ru/proekt2026_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pd.gov.ru/cadastral-price/draft-repor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Дима</dc:creator>
  <dc:description/>
  <cp:lastModifiedBy>Дима Дима</cp:lastModifiedBy>
  <cp:revision>2</cp:revision>
  <dcterms:created xsi:type="dcterms:W3CDTF">2026-09-14T07:55:00Z</dcterms:created>
  <dcterms:modified xsi:type="dcterms:W3CDTF">2026-09-14T07:55:00Z</dcterms:modified>
  <dc:language>ru-RU</dc:language>
</cp:coreProperties>
</file>