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9000000">
      <w:pPr>
        <w:pStyle w:val="Style_3"/>
        <w:widowControl w:val="1"/>
        <w:ind/>
        <w:jc w:val="both"/>
        <w:rPr>
          <w:rFonts w:ascii="Times New Roman" w:hAnsi="Times New Roman"/>
        </w:rPr>
      </w:pPr>
    </w:p>
    <w:tbl>
      <w:tblPr>
        <w:tblStyle w:val="Style_4"/>
        <w:tblW w:type="auto" w:w="0"/>
        <w:tblLayout w:type="fixed"/>
      </w:tblPr>
      <w:tblGrid>
        <w:gridCol w:w="4782"/>
        <w:gridCol w:w="4783"/>
      </w:tblGrid>
      <w:tr>
        <w:tc>
          <w:tcPr>
            <w:tcW w:type="dxa" w:w="4782"/>
            <w:shd w:fill="auto" w:val="clear"/>
          </w:tcPr>
          <w:p w14:paraId="0A000000">
            <w:pPr>
              <w:pStyle w:val="Style_3"/>
              <w:widowControl w:val="1"/>
              <w:ind/>
              <w:jc w:val="both"/>
              <w:rPr>
                <w:sz w:val="28"/>
              </w:rPr>
            </w:pPr>
          </w:p>
        </w:tc>
        <w:tc>
          <w:tcPr>
            <w:tcW w:type="dxa" w:w="4783"/>
            <w:shd w:fill="auto" w:val="clear"/>
          </w:tcPr>
          <w:p w14:paraId="0B000000">
            <w:pPr>
              <w:widowControl w:val="1"/>
              <w:ind/>
              <w:outlineLvl w:val="0"/>
              <w:rPr>
                <w:sz w:val="28"/>
              </w:rPr>
            </w:pPr>
            <w:r>
              <w:rPr>
                <w:sz w:val="28"/>
              </w:rPr>
              <w:t>У</w:t>
            </w:r>
            <w:r>
              <w:rPr>
                <w:sz w:val="28"/>
              </w:rPr>
              <w:t>тверждена</w:t>
            </w:r>
          </w:p>
          <w:p w14:paraId="0C000000">
            <w:pPr>
              <w:rPr>
                <w:sz w:val="28"/>
              </w:rPr>
            </w:pPr>
            <w:r>
              <w:rPr>
                <w:sz w:val="28"/>
              </w:rPr>
              <w:t>постановлением администрации Крапивинского муниципального округа</w:t>
            </w:r>
          </w:p>
          <w:p w14:paraId="0D000000">
            <w:pPr>
              <w:rPr>
                <w:sz w:val="28"/>
              </w:rPr>
            </w:pPr>
            <w:r>
              <w:rPr>
                <w:sz w:val="28"/>
              </w:rPr>
              <w:t>от ____________202</w:t>
            </w:r>
            <w:r>
              <w:rPr>
                <w:sz w:val="28"/>
              </w:rPr>
              <w:t>5</w:t>
            </w:r>
            <w:r>
              <w:rPr>
                <w:sz w:val="28"/>
              </w:rPr>
              <w:t>г. №_______</w:t>
            </w:r>
          </w:p>
        </w:tc>
      </w:tr>
    </w:tbl>
    <w:p w14:paraId="0E000000">
      <w:pPr>
        <w:pStyle w:val="Style_3"/>
        <w:widowControl w:val="1"/>
        <w:ind/>
        <w:jc w:val="both"/>
        <w:rPr>
          <w:rFonts w:ascii="Times New Roman" w:hAnsi="Times New Roman"/>
        </w:rPr>
      </w:pPr>
    </w:p>
    <w:p w14:paraId="0F000000">
      <w:pPr>
        <w:widowControl w:val="1"/>
        <w:ind/>
        <w:jc w:val="center"/>
        <w:rPr>
          <w:b w:val="1"/>
          <w:sz w:val="28"/>
        </w:rPr>
      </w:pPr>
      <w:bookmarkStart w:id="1" w:name="Par23"/>
      <w:bookmarkEnd w:id="1"/>
      <w:r>
        <w:rPr>
          <w:b w:val="1"/>
          <w:sz w:val="28"/>
        </w:rPr>
        <w:t>Программ</w:t>
      </w:r>
      <w:r>
        <w:rPr>
          <w:b w:val="1"/>
          <w:sz w:val="28"/>
        </w:rPr>
        <w:t>а</w:t>
      </w:r>
      <w:r>
        <w:rPr>
          <w:b w:val="1"/>
          <w:sz w:val="28"/>
        </w:rPr>
        <w:t xml:space="preserve"> </w:t>
      </w:r>
      <w:r>
        <w:rPr>
          <w:b w:val="1"/>
          <w:sz w:val="28"/>
        </w:rPr>
        <w:t xml:space="preserve">финансового </w:t>
      </w:r>
      <w:r>
        <w:rPr>
          <w:b w:val="1"/>
          <w:sz w:val="28"/>
        </w:rPr>
        <w:t xml:space="preserve">оздоровления </w:t>
      </w:r>
    </w:p>
    <w:p w14:paraId="10000000">
      <w:pPr>
        <w:widowControl w:val="1"/>
        <w:ind/>
        <w:jc w:val="center"/>
        <w:rPr>
          <w:b w:val="1"/>
          <w:sz w:val="28"/>
        </w:rPr>
      </w:pPr>
      <w:r>
        <w:rPr>
          <w:b w:val="1"/>
          <w:sz w:val="28"/>
        </w:rPr>
        <w:t>Крапивинского муниципального округа</w:t>
      </w:r>
      <w:r>
        <w:rPr>
          <w:b w:val="1"/>
          <w:sz w:val="28"/>
        </w:rPr>
        <w:t xml:space="preserve"> </w:t>
      </w:r>
      <w:r>
        <w:rPr>
          <w:b w:val="1"/>
          <w:sz w:val="28"/>
        </w:rPr>
        <w:t>на 202</w:t>
      </w:r>
      <w:r>
        <w:rPr>
          <w:b w:val="1"/>
          <w:sz w:val="28"/>
        </w:rPr>
        <w:t>5–2027</w:t>
      </w:r>
      <w:r>
        <w:rPr>
          <w:b w:val="1"/>
          <w:sz w:val="28"/>
        </w:rPr>
        <w:t xml:space="preserve"> годы</w:t>
      </w:r>
    </w:p>
    <w:p w14:paraId="11000000">
      <w:pPr>
        <w:widowControl w:val="1"/>
        <w:ind/>
        <w:jc w:val="center"/>
        <w:rPr>
          <w:b w:val="1"/>
          <w:sz w:val="28"/>
        </w:rPr>
      </w:pPr>
    </w:p>
    <w:p w14:paraId="12000000">
      <w:pPr>
        <w:pStyle w:val="Style_5"/>
        <w:widowControl w:val="1"/>
        <w:ind/>
        <w:jc w:val="center"/>
        <w:rPr>
          <w:rFonts w:ascii="Times New Roman" w:hAnsi="Times New Roman"/>
          <w:b w:val="1"/>
          <w:sz w:val="28"/>
        </w:rPr>
      </w:pPr>
      <w:r>
        <w:rPr>
          <w:rFonts w:ascii="Times New Roman" w:hAnsi="Times New Roman"/>
          <w:b w:val="1"/>
          <w:sz w:val="28"/>
        </w:rPr>
        <w:t>1</w:t>
      </w:r>
      <w:r>
        <w:rPr>
          <w:rFonts w:ascii="Times New Roman" w:hAnsi="Times New Roman"/>
          <w:b w:val="1"/>
          <w:sz w:val="28"/>
        </w:rPr>
        <w:t>. Общие положения</w:t>
      </w:r>
    </w:p>
    <w:p w14:paraId="13000000">
      <w:pPr>
        <w:pStyle w:val="Style_5"/>
        <w:widowControl w:val="1"/>
        <w:ind w:firstLine="709"/>
        <w:jc w:val="center"/>
        <w:rPr>
          <w:rFonts w:ascii="Times New Roman" w:hAnsi="Times New Roman"/>
          <w:sz w:val="28"/>
        </w:rPr>
      </w:pPr>
    </w:p>
    <w:p w14:paraId="14000000">
      <w:pPr>
        <w:pStyle w:val="Style_5"/>
        <w:widowControl w:val="1"/>
        <w:ind w:firstLine="709"/>
        <w:jc w:val="both"/>
        <w:rPr>
          <w:rFonts w:ascii="Times New Roman" w:hAnsi="Times New Roman"/>
          <w:sz w:val="28"/>
        </w:rPr>
      </w:pPr>
      <w:r>
        <w:rPr>
          <w:rFonts w:ascii="Times New Roman" w:hAnsi="Times New Roman"/>
          <w:sz w:val="28"/>
        </w:rPr>
        <w:t xml:space="preserve">Программа </w:t>
      </w:r>
      <w:r>
        <w:rPr>
          <w:rFonts w:ascii="Times New Roman" w:hAnsi="Times New Roman"/>
          <w:sz w:val="28"/>
        </w:rPr>
        <w:t>финансового оздоровления</w:t>
      </w:r>
      <w:r>
        <w:rPr>
          <w:rFonts w:ascii="Times New Roman" w:hAnsi="Times New Roman"/>
          <w:sz w:val="28"/>
        </w:rPr>
        <w:t xml:space="preserve"> </w:t>
      </w:r>
      <w:r>
        <w:rPr>
          <w:rFonts w:ascii="Times New Roman" w:hAnsi="Times New Roman"/>
          <w:sz w:val="28"/>
        </w:rPr>
        <w:t>Крапивинского муниципального округа</w:t>
      </w:r>
      <w:r>
        <w:rPr>
          <w:rFonts w:ascii="Times New Roman" w:hAnsi="Times New Roman"/>
          <w:sz w:val="28"/>
        </w:rPr>
        <w:t xml:space="preserve"> </w:t>
      </w:r>
      <w:r>
        <w:rPr>
          <w:rFonts w:ascii="Times New Roman" w:hAnsi="Times New Roman"/>
          <w:sz w:val="28"/>
        </w:rPr>
        <w:t>на 202</w:t>
      </w:r>
      <w:r>
        <w:rPr>
          <w:rFonts w:ascii="Times New Roman" w:hAnsi="Times New Roman"/>
          <w:sz w:val="28"/>
        </w:rPr>
        <w:t>5</w:t>
      </w:r>
      <w:r>
        <w:rPr>
          <w:rFonts w:ascii="Times New Roman" w:hAnsi="Times New Roman"/>
          <w:sz w:val="28"/>
        </w:rPr>
        <w:t>–202</w:t>
      </w:r>
      <w:r>
        <w:rPr>
          <w:rFonts w:ascii="Times New Roman" w:hAnsi="Times New Roman"/>
          <w:sz w:val="28"/>
        </w:rPr>
        <w:t>7</w:t>
      </w:r>
      <w:r>
        <w:rPr>
          <w:rFonts w:ascii="Times New Roman" w:hAnsi="Times New Roman"/>
          <w:sz w:val="28"/>
        </w:rPr>
        <w:t xml:space="preserve"> годы</w:t>
      </w:r>
      <w:r>
        <w:rPr>
          <w:rFonts w:ascii="Times New Roman" w:hAnsi="Times New Roman"/>
          <w:sz w:val="28"/>
        </w:rPr>
        <w:t xml:space="preserve"> </w:t>
      </w:r>
      <w:r>
        <w:rPr>
          <w:rFonts w:ascii="Times New Roman" w:hAnsi="Times New Roman"/>
          <w:sz w:val="28"/>
        </w:rPr>
        <w:t xml:space="preserve">(далее </w:t>
      </w:r>
      <w:r>
        <w:rPr>
          <w:rFonts w:ascii="Times New Roman" w:hAnsi="Times New Roman"/>
          <w:sz w:val="28"/>
        </w:rPr>
        <w:t>–</w:t>
      </w:r>
      <w:r>
        <w:rPr>
          <w:rFonts w:ascii="Times New Roman" w:hAnsi="Times New Roman"/>
          <w:sz w:val="28"/>
        </w:rPr>
        <w:t xml:space="preserve"> Программа) разработана в целях формирования бюджетной политики </w:t>
      </w:r>
      <w:r>
        <w:rPr>
          <w:rFonts w:ascii="Times New Roman" w:hAnsi="Times New Roman"/>
          <w:sz w:val="28"/>
        </w:rPr>
        <w:t>округа</w:t>
      </w:r>
      <w:r>
        <w:rPr>
          <w:rFonts w:ascii="Times New Roman" w:hAnsi="Times New Roman"/>
          <w:sz w:val="28"/>
        </w:rPr>
        <w:t xml:space="preserve">, ориентированной на создание условий для эффективного управления </w:t>
      </w:r>
      <w:r>
        <w:rPr>
          <w:rFonts w:ascii="Times New Roman" w:hAnsi="Times New Roman"/>
          <w:sz w:val="28"/>
        </w:rPr>
        <w:t xml:space="preserve">муниципальными </w:t>
      </w:r>
      <w:r>
        <w:rPr>
          <w:rFonts w:ascii="Times New Roman" w:hAnsi="Times New Roman"/>
          <w:sz w:val="28"/>
        </w:rPr>
        <w:t xml:space="preserve">финансами </w:t>
      </w:r>
      <w:r>
        <w:rPr>
          <w:rFonts w:ascii="Times New Roman" w:hAnsi="Times New Roman"/>
          <w:sz w:val="28"/>
        </w:rPr>
        <w:t>Крапивинского муниципального округа</w:t>
      </w:r>
      <w:r>
        <w:rPr>
          <w:rFonts w:ascii="Times New Roman" w:hAnsi="Times New Roman"/>
          <w:sz w:val="28"/>
        </w:rPr>
        <w:t xml:space="preserve"> </w:t>
      </w:r>
      <w:r>
        <w:rPr>
          <w:rFonts w:ascii="Times New Roman" w:hAnsi="Times New Roman"/>
          <w:sz w:val="28"/>
        </w:rPr>
        <w:t xml:space="preserve">и укрепление устойчивости бюджетной системы </w:t>
      </w:r>
      <w:r>
        <w:rPr>
          <w:rFonts w:ascii="Times New Roman" w:hAnsi="Times New Roman"/>
          <w:sz w:val="28"/>
        </w:rPr>
        <w:t>округа</w:t>
      </w:r>
      <w:r>
        <w:rPr>
          <w:rFonts w:ascii="Times New Roman" w:hAnsi="Times New Roman"/>
          <w:sz w:val="28"/>
        </w:rPr>
        <w:t>.</w:t>
      </w:r>
      <w:r>
        <w:rPr>
          <w:rFonts w:ascii="Times New Roman" w:hAnsi="Times New Roman"/>
          <w:sz w:val="28"/>
        </w:rPr>
        <w:t xml:space="preserve"> </w:t>
      </w:r>
    </w:p>
    <w:p w14:paraId="15000000">
      <w:pPr>
        <w:pStyle w:val="Style_5"/>
        <w:widowControl w:val="1"/>
        <w:ind w:firstLine="709"/>
        <w:jc w:val="both"/>
        <w:rPr>
          <w:rFonts w:ascii="Times New Roman" w:hAnsi="Times New Roman"/>
          <w:sz w:val="28"/>
        </w:rPr>
      </w:pPr>
      <w:r>
        <w:rPr>
          <w:rFonts w:ascii="Times New Roman" w:hAnsi="Times New Roman"/>
          <w:sz w:val="28"/>
        </w:rPr>
        <w:t xml:space="preserve">Программа определяет основные направления деятельности исполнительных органов </w:t>
      </w:r>
      <w:r>
        <w:rPr>
          <w:rFonts w:ascii="Times New Roman" w:hAnsi="Times New Roman"/>
          <w:sz w:val="28"/>
        </w:rPr>
        <w:t xml:space="preserve">Крапивинского муниципального округа </w:t>
      </w:r>
      <w:r>
        <w:rPr>
          <w:rFonts w:ascii="Times New Roman" w:hAnsi="Times New Roman"/>
          <w:sz w:val="28"/>
        </w:rPr>
        <w:t xml:space="preserve">в сфере </w:t>
      </w:r>
      <w:r>
        <w:rPr>
          <w:rFonts w:ascii="Times New Roman" w:hAnsi="Times New Roman"/>
          <w:sz w:val="28"/>
        </w:rPr>
        <w:t xml:space="preserve">развития собственной доходной базы </w:t>
      </w:r>
      <w:r>
        <w:rPr>
          <w:rFonts w:ascii="Times New Roman" w:hAnsi="Times New Roman"/>
          <w:sz w:val="28"/>
        </w:rPr>
        <w:t>округа</w:t>
      </w:r>
      <w:r>
        <w:rPr>
          <w:rFonts w:ascii="Times New Roman" w:hAnsi="Times New Roman"/>
          <w:sz w:val="28"/>
        </w:rPr>
        <w:t xml:space="preserve">, </w:t>
      </w:r>
      <w:r>
        <w:rPr>
          <w:rFonts w:ascii="Times New Roman" w:hAnsi="Times New Roman"/>
          <w:sz w:val="28"/>
        </w:rPr>
        <w:t>оптимизации и приоритизации расходов местн</w:t>
      </w:r>
      <w:r>
        <w:rPr>
          <w:rFonts w:ascii="Times New Roman" w:hAnsi="Times New Roman"/>
          <w:sz w:val="28"/>
        </w:rPr>
        <w:t>ого</w:t>
      </w:r>
      <w:r>
        <w:rPr>
          <w:rFonts w:ascii="Times New Roman" w:hAnsi="Times New Roman"/>
          <w:sz w:val="28"/>
        </w:rPr>
        <w:t xml:space="preserve"> бюджет</w:t>
      </w:r>
      <w:r>
        <w:rPr>
          <w:rFonts w:ascii="Times New Roman" w:hAnsi="Times New Roman"/>
          <w:sz w:val="28"/>
        </w:rPr>
        <w:t>а</w:t>
      </w:r>
      <w:r>
        <w:rPr>
          <w:rFonts w:ascii="Times New Roman" w:hAnsi="Times New Roman"/>
          <w:sz w:val="28"/>
        </w:rPr>
        <w:t>, ограничения бюджетного дефицита, совершенствования управления долговыми обязательствами.</w:t>
      </w:r>
    </w:p>
    <w:p w14:paraId="16000000">
      <w:pPr>
        <w:pStyle w:val="Style_5"/>
        <w:widowControl w:val="1"/>
        <w:ind/>
        <w:jc w:val="center"/>
        <w:rPr>
          <w:rFonts w:ascii="Times New Roman" w:hAnsi="Times New Roman"/>
          <w:sz w:val="28"/>
        </w:rPr>
      </w:pPr>
    </w:p>
    <w:p w14:paraId="17000000">
      <w:pPr>
        <w:pStyle w:val="Style_5"/>
        <w:widowControl w:val="1"/>
        <w:ind/>
        <w:jc w:val="center"/>
        <w:rPr>
          <w:rFonts w:ascii="Times New Roman" w:hAnsi="Times New Roman"/>
          <w:b w:val="1"/>
          <w:sz w:val="28"/>
        </w:rPr>
      </w:pPr>
      <w:r>
        <w:rPr>
          <w:rFonts w:ascii="Times New Roman" w:hAnsi="Times New Roman"/>
          <w:b w:val="1"/>
          <w:sz w:val="28"/>
        </w:rPr>
        <w:t>2</w:t>
      </w:r>
      <w:r>
        <w:rPr>
          <w:rFonts w:ascii="Times New Roman" w:hAnsi="Times New Roman"/>
          <w:b w:val="1"/>
          <w:sz w:val="28"/>
        </w:rPr>
        <w:t>. Цел</w:t>
      </w:r>
      <w:r>
        <w:rPr>
          <w:rFonts w:ascii="Times New Roman" w:hAnsi="Times New Roman"/>
          <w:b w:val="1"/>
          <w:sz w:val="28"/>
        </w:rPr>
        <w:t>ь</w:t>
      </w:r>
      <w:r>
        <w:rPr>
          <w:rFonts w:ascii="Times New Roman" w:hAnsi="Times New Roman"/>
          <w:b w:val="1"/>
          <w:sz w:val="28"/>
        </w:rPr>
        <w:t xml:space="preserve"> и задачи</w:t>
      </w:r>
    </w:p>
    <w:p w14:paraId="18000000">
      <w:pPr>
        <w:pStyle w:val="Style_5"/>
        <w:widowControl w:val="1"/>
        <w:ind/>
        <w:jc w:val="center"/>
        <w:rPr>
          <w:rFonts w:ascii="Times New Roman" w:hAnsi="Times New Roman"/>
          <w:sz w:val="28"/>
        </w:rPr>
      </w:pPr>
    </w:p>
    <w:p w14:paraId="19000000">
      <w:pPr>
        <w:pStyle w:val="Style_5"/>
        <w:widowControl w:val="1"/>
        <w:ind w:firstLine="709"/>
        <w:jc w:val="both"/>
        <w:rPr>
          <w:rFonts w:ascii="Times New Roman" w:hAnsi="Times New Roman"/>
          <w:sz w:val="28"/>
        </w:rPr>
      </w:pPr>
      <w:r>
        <w:rPr>
          <w:rFonts w:ascii="Times New Roman" w:hAnsi="Times New Roman"/>
          <w:sz w:val="28"/>
        </w:rPr>
        <w:t xml:space="preserve">Цель Программы </w:t>
      </w:r>
      <w:r>
        <w:rPr>
          <w:rFonts w:ascii="Times New Roman" w:hAnsi="Times New Roman"/>
          <w:sz w:val="28"/>
        </w:rPr>
        <w:t>–</w:t>
      </w:r>
      <w:r>
        <w:rPr>
          <w:rFonts w:ascii="Times New Roman" w:hAnsi="Times New Roman"/>
          <w:sz w:val="28"/>
        </w:rPr>
        <w:t xml:space="preserve"> улучшение состояния бюджетной системы </w:t>
      </w:r>
      <w:r>
        <w:rPr>
          <w:rFonts w:ascii="Times New Roman" w:hAnsi="Times New Roman"/>
          <w:sz w:val="28"/>
        </w:rPr>
        <w:t>Крапивинского муниципального округа</w:t>
      </w:r>
      <w:r>
        <w:rPr>
          <w:rFonts w:ascii="Times New Roman" w:hAnsi="Times New Roman"/>
          <w:sz w:val="28"/>
        </w:rPr>
        <w:t xml:space="preserve">, эффективное использование бюджетных средств при реализации приоритетов и целей социально-экономического развития </w:t>
      </w:r>
      <w:r>
        <w:rPr>
          <w:rFonts w:ascii="Times New Roman" w:hAnsi="Times New Roman"/>
          <w:sz w:val="28"/>
        </w:rPr>
        <w:t>Крапивинского муниципального округа</w:t>
      </w:r>
      <w:r>
        <w:rPr>
          <w:rFonts w:ascii="Times New Roman" w:hAnsi="Times New Roman"/>
          <w:sz w:val="28"/>
        </w:rPr>
        <w:t xml:space="preserve">, </w:t>
      </w:r>
      <w:r>
        <w:rPr>
          <w:rFonts w:ascii="Times New Roman" w:hAnsi="Times New Roman"/>
          <w:sz w:val="28"/>
        </w:rPr>
        <w:t>снижение</w:t>
      </w:r>
      <w:r>
        <w:rPr>
          <w:rFonts w:ascii="Times New Roman" w:hAnsi="Times New Roman"/>
          <w:sz w:val="28"/>
        </w:rPr>
        <w:t xml:space="preserve"> долговой нагрузки на местны</w:t>
      </w:r>
      <w:r>
        <w:rPr>
          <w:rFonts w:ascii="Times New Roman" w:hAnsi="Times New Roman"/>
          <w:sz w:val="28"/>
        </w:rPr>
        <w:t>й</w:t>
      </w:r>
      <w:r>
        <w:rPr>
          <w:rFonts w:ascii="Times New Roman" w:hAnsi="Times New Roman"/>
          <w:sz w:val="28"/>
        </w:rPr>
        <w:t xml:space="preserve"> бюджет. </w:t>
      </w:r>
    </w:p>
    <w:p w14:paraId="1A000000">
      <w:pPr>
        <w:pStyle w:val="Style_5"/>
        <w:widowControl w:val="1"/>
        <w:ind w:firstLine="709"/>
        <w:jc w:val="both"/>
        <w:rPr>
          <w:rFonts w:ascii="Times New Roman" w:hAnsi="Times New Roman"/>
          <w:sz w:val="28"/>
        </w:rPr>
      </w:pPr>
      <w:r>
        <w:rPr>
          <w:rFonts w:ascii="Times New Roman" w:hAnsi="Times New Roman"/>
          <w:sz w:val="28"/>
        </w:rPr>
        <w:t>Для достижения поставленн</w:t>
      </w:r>
      <w:r>
        <w:rPr>
          <w:rFonts w:ascii="Times New Roman" w:hAnsi="Times New Roman"/>
          <w:sz w:val="28"/>
        </w:rPr>
        <w:t>ой</w:t>
      </w:r>
      <w:r>
        <w:rPr>
          <w:rFonts w:ascii="Times New Roman" w:hAnsi="Times New Roman"/>
          <w:sz w:val="28"/>
        </w:rPr>
        <w:t xml:space="preserve"> цел</w:t>
      </w:r>
      <w:r>
        <w:rPr>
          <w:rFonts w:ascii="Times New Roman" w:hAnsi="Times New Roman"/>
          <w:sz w:val="28"/>
        </w:rPr>
        <w:t>и</w:t>
      </w:r>
      <w:r>
        <w:rPr>
          <w:rFonts w:ascii="Times New Roman" w:hAnsi="Times New Roman"/>
          <w:sz w:val="28"/>
        </w:rPr>
        <w:t xml:space="preserve"> необходимо решить следующие задачи Программы:</w:t>
      </w:r>
    </w:p>
    <w:p w14:paraId="1B000000">
      <w:pPr>
        <w:pStyle w:val="Style_5"/>
        <w:widowControl w:val="1"/>
        <w:ind w:firstLine="709"/>
        <w:jc w:val="both"/>
        <w:rPr>
          <w:rFonts w:ascii="Times New Roman" w:hAnsi="Times New Roman"/>
          <w:sz w:val="28"/>
        </w:rPr>
      </w:pPr>
      <w:r>
        <w:rPr>
          <w:rFonts w:ascii="Times New Roman" w:hAnsi="Times New Roman"/>
          <w:sz w:val="28"/>
        </w:rPr>
        <w:t xml:space="preserve">обеспечение роста налоговых и неналоговых доходов </w:t>
      </w:r>
      <w:r>
        <w:rPr>
          <w:rFonts w:ascii="Times New Roman" w:hAnsi="Times New Roman"/>
          <w:sz w:val="28"/>
        </w:rPr>
        <w:t>местного бюджета</w:t>
      </w:r>
      <w:r>
        <w:rPr>
          <w:rFonts w:ascii="Times New Roman" w:hAnsi="Times New Roman"/>
          <w:sz w:val="28"/>
        </w:rPr>
        <w:t>;</w:t>
      </w:r>
    </w:p>
    <w:p w14:paraId="1C000000">
      <w:pPr>
        <w:pStyle w:val="Style_5"/>
        <w:widowControl w:val="1"/>
        <w:ind w:firstLine="709"/>
        <w:jc w:val="both"/>
        <w:rPr>
          <w:rFonts w:ascii="Times New Roman" w:hAnsi="Times New Roman"/>
          <w:sz w:val="28"/>
        </w:rPr>
      </w:pPr>
      <w:r>
        <w:rPr>
          <w:rFonts w:ascii="Times New Roman" w:hAnsi="Times New Roman"/>
          <w:sz w:val="28"/>
        </w:rPr>
        <w:t>реализация мер по оптимизации бюджетных расходов</w:t>
      </w:r>
      <w:r>
        <w:rPr>
          <w:rFonts w:ascii="Times New Roman" w:hAnsi="Times New Roman"/>
          <w:sz w:val="28"/>
        </w:rPr>
        <w:t xml:space="preserve"> </w:t>
      </w:r>
      <w:r>
        <w:rPr>
          <w:rFonts w:ascii="Times New Roman" w:hAnsi="Times New Roman"/>
          <w:sz w:val="28"/>
        </w:rPr>
        <w:t>и повышению эффективности использования бюджетных средств;</w:t>
      </w:r>
    </w:p>
    <w:p w14:paraId="1D000000">
      <w:pPr>
        <w:pStyle w:val="Style_5"/>
        <w:widowControl w:val="1"/>
        <w:ind w:firstLine="709"/>
        <w:jc w:val="both"/>
        <w:rPr>
          <w:rFonts w:ascii="Times New Roman" w:hAnsi="Times New Roman"/>
          <w:sz w:val="28"/>
        </w:rPr>
      </w:pPr>
      <w:r>
        <w:rPr>
          <w:rFonts w:ascii="Times New Roman" w:hAnsi="Times New Roman"/>
          <w:sz w:val="28"/>
        </w:rPr>
        <w:t>поддержани</w:t>
      </w:r>
      <w:r>
        <w:rPr>
          <w:rFonts w:ascii="Times New Roman" w:hAnsi="Times New Roman"/>
          <w:sz w:val="28"/>
        </w:rPr>
        <w:t>е</w:t>
      </w:r>
      <w:r>
        <w:rPr>
          <w:rFonts w:ascii="Times New Roman" w:hAnsi="Times New Roman"/>
          <w:sz w:val="28"/>
        </w:rPr>
        <w:t xml:space="preserve"> объема </w:t>
      </w:r>
      <w:r>
        <w:rPr>
          <w:rFonts w:ascii="Times New Roman" w:hAnsi="Times New Roman"/>
          <w:sz w:val="28"/>
        </w:rPr>
        <w:t>муниципального</w:t>
      </w:r>
      <w:r>
        <w:rPr>
          <w:rFonts w:ascii="Times New Roman" w:hAnsi="Times New Roman"/>
          <w:sz w:val="28"/>
        </w:rPr>
        <w:t xml:space="preserve"> долга </w:t>
      </w:r>
      <w:r>
        <w:rPr>
          <w:rFonts w:ascii="Times New Roman" w:hAnsi="Times New Roman"/>
          <w:sz w:val="28"/>
        </w:rPr>
        <w:t xml:space="preserve">Крапивинского муниципального округа </w:t>
      </w:r>
      <w:r>
        <w:rPr>
          <w:rFonts w:ascii="Times New Roman" w:hAnsi="Times New Roman"/>
          <w:sz w:val="28"/>
        </w:rPr>
        <w:t xml:space="preserve"> на оптимальном уровне, минимизаци</w:t>
      </w:r>
      <w:r>
        <w:rPr>
          <w:rFonts w:ascii="Times New Roman" w:hAnsi="Times New Roman"/>
          <w:sz w:val="28"/>
        </w:rPr>
        <w:t>я</w:t>
      </w:r>
      <w:r>
        <w:rPr>
          <w:rFonts w:ascii="Times New Roman" w:hAnsi="Times New Roman"/>
          <w:sz w:val="28"/>
        </w:rPr>
        <w:t xml:space="preserve"> стоимости его обслуживания</w:t>
      </w:r>
      <w:r>
        <w:rPr>
          <w:rFonts w:ascii="Times New Roman" w:hAnsi="Times New Roman"/>
          <w:sz w:val="28"/>
        </w:rPr>
        <w:t>.</w:t>
      </w:r>
    </w:p>
    <w:p w14:paraId="1E000000">
      <w:pPr>
        <w:pStyle w:val="Style_5"/>
        <w:widowControl w:val="1"/>
        <w:ind w:firstLine="709"/>
        <w:jc w:val="both"/>
        <w:rPr>
          <w:rFonts w:ascii="Times New Roman" w:hAnsi="Times New Roman"/>
          <w:sz w:val="28"/>
        </w:rPr>
      </w:pPr>
    </w:p>
    <w:p w14:paraId="1F000000">
      <w:pPr>
        <w:pStyle w:val="Style_5"/>
        <w:widowControl w:val="1"/>
        <w:ind/>
        <w:jc w:val="center"/>
        <w:rPr>
          <w:rFonts w:ascii="Times New Roman" w:hAnsi="Times New Roman"/>
          <w:b w:val="1"/>
          <w:sz w:val="28"/>
        </w:rPr>
      </w:pPr>
      <w:r>
        <w:rPr>
          <w:rFonts w:ascii="Times New Roman" w:hAnsi="Times New Roman"/>
          <w:b w:val="1"/>
          <w:sz w:val="28"/>
        </w:rPr>
        <w:t>3</w:t>
      </w:r>
      <w:r>
        <w:rPr>
          <w:rFonts w:ascii="Times New Roman" w:hAnsi="Times New Roman"/>
          <w:b w:val="1"/>
          <w:sz w:val="28"/>
        </w:rPr>
        <w:t>. Характеристика текущего состояния</w:t>
      </w:r>
    </w:p>
    <w:p w14:paraId="20000000">
      <w:pPr>
        <w:pStyle w:val="Style_5"/>
        <w:widowControl w:val="1"/>
        <w:ind/>
        <w:jc w:val="center"/>
        <w:rPr>
          <w:rFonts w:ascii="Times New Roman" w:hAnsi="Times New Roman"/>
          <w:b w:val="1"/>
          <w:sz w:val="28"/>
        </w:rPr>
      </w:pPr>
      <w:r>
        <w:rPr>
          <w:rFonts w:ascii="Times New Roman" w:hAnsi="Times New Roman"/>
          <w:b w:val="1"/>
          <w:sz w:val="28"/>
        </w:rPr>
        <w:t>муниципальных финансов Крапивинского муниципального округа</w:t>
      </w:r>
    </w:p>
    <w:p w14:paraId="21000000">
      <w:pPr>
        <w:widowControl w:val="1"/>
        <w:ind w:firstLine="709"/>
        <w:jc w:val="both"/>
        <w:rPr>
          <w:sz w:val="28"/>
        </w:rPr>
      </w:pPr>
    </w:p>
    <w:p w14:paraId="22000000">
      <w:pPr>
        <w:widowControl w:val="1"/>
        <w:ind w:firstLine="709"/>
        <w:jc w:val="both"/>
        <w:rPr>
          <w:sz w:val="28"/>
        </w:rPr>
      </w:pPr>
      <w:r>
        <w:rPr>
          <w:sz w:val="28"/>
        </w:rPr>
        <w:t>Органами местного самоуправления Крапивинского муниципального округа в целях повышения устойчивости и обеспечения сбалансированности бюджета принимались комплексные меры</w:t>
      </w:r>
      <w:r>
        <w:rPr>
          <w:sz w:val="28"/>
        </w:rPr>
        <w:t xml:space="preserve"> в рамках плана мероприятий по финансовому оздоровлению Крапивинского муниципального округа</w:t>
      </w:r>
      <w:r>
        <w:rPr>
          <w:sz w:val="28"/>
        </w:rPr>
        <w:t>:</w:t>
      </w:r>
    </w:p>
    <w:p w14:paraId="23000000">
      <w:pPr>
        <w:widowControl w:val="1"/>
        <w:ind w:firstLine="709"/>
        <w:jc w:val="both"/>
        <w:rPr>
          <w:sz w:val="28"/>
        </w:rPr>
      </w:pPr>
      <w:r>
        <w:rPr>
          <w:sz w:val="28"/>
        </w:rPr>
        <w:t>-</w:t>
      </w:r>
      <w:r>
        <w:rPr>
          <w:sz w:val="28"/>
        </w:rPr>
        <w:t xml:space="preserve"> </w:t>
      </w:r>
      <w:r>
        <w:rPr>
          <w:sz w:val="28"/>
        </w:rPr>
        <w:t>в</w:t>
      </w:r>
      <w:r>
        <w:rPr>
          <w:sz w:val="28"/>
        </w:rPr>
        <w:t xml:space="preserve"> 2020-202</w:t>
      </w:r>
      <w:r>
        <w:rPr>
          <w:sz w:val="28"/>
        </w:rPr>
        <w:t>3</w:t>
      </w:r>
      <w:r>
        <w:rPr>
          <w:sz w:val="28"/>
        </w:rPr>
        <w:t xml:space="preserve"> годы, утвержденного постановлением администрации Крапивинского муниципального округа от </w:t>
      </w:r>
      <w:r>
        <w:rPr>
          <w:sz w:val="28"/>
        </w:rPr>
        <w:t>01.04.2020г. №342</w:t>
      </w:r>
      <w:r>
        <w:rPr>
          <w:sz w:val="28"/>
        </w:rPr>
        <w:t xml:space="preserve"> «Об утверждении Программы финансового оздоровления Крапивинского муниципального округа  на 2020-2024 годы»</w:t>
      </w:r>
      <w:r>
        <w:rPr>
          <w:sz w:val="28"/>
        </w:rPr>
        <w:t>;</w:t>
      </w:r>
    </w:p>
    <w:p w14:paraId="24000000">
      <w:pPr>
        <w:widowControl w:val="1"/>
        <w:ind w:firstLine="709"/>
        <w:jc w:val="both"/>
        <w:rPr>
          <w:sz w:val="28"/>
        </w:rPr>
      </w:pPr>
      <w:r>
        <w:rPr>
          <w:sz w:val="28"/>
        </w:rPr>
        <w:t xml:space="preserve">- в 2024 году, утвержденного постановлением администрации Крапивинского муниципального округа </w:t>
      </w:r>
      <w:r>
        <w:rPr>
          <w:sz w:val="28"/>
        </w:rPr>
        <w:t>от 25.03.2024 №355</w:t>
      </w:r>
      <w:r>
        <w:rPr>
          <w:sz w:val="28"/>
        </w:rPr>
        <w:t xml:space="preserve"> «Об утверждении Программы финансового оздоровления Крапивинского муниципального округа  на 2024-2026 годы».</w:t>
      </w:r>
    </w:p>
    <w:p w14:paraId="25000000">
      <w:pPr>
        <w:widowControl w:val="1"/>
        <w:ind w:firstLine="709"/>
        <w:jc w:val="both"/>
        <w:rPr>
          <w:sz w:val="28"/>
        </w:rPr>
      </w:pPr>
      <w:r>
        <w:rPr>
          <w:sz w:val="28"/>
        </w:rPr>
        <w:t xml:space="preserve">Бюджет округа является высокодотационным, </w:t>
      </w:r>
      <w:r>
        <w:rPr>
          <w:sz w:val="28"/>
        </w:rPr>
        <w:t xml:space="preserve">безвозмездные </w:t>
      </w:r>
      <w:r>
        <w:rPr>
          <w:sz w:val="28"/>
        </w:rPr>
        <w:t xml:space="preserve">поступления из областного бюджета составляют более 80%. </w:t>
      </w:r>
    </w:p>
    <w:p w14:paraId="26000000">
      <w:pPr>
        <w:widowControl w:val="1"/>
        <w:ind w:firstLine="709"/>
        <w:jc w:val="both"/>
        <w:rPr>
          <w:sz w:val="28"/>
        </w:rPr>
      </w:pPr>
      <w:r>
        <w:rPr>
          <w:sz w:val="28"/>
        </w:rPr>
        <w:t>Динамика налоговых и неналоговых доходов за 2022-2024 годы:     2022 год рост на 84837,5 тыс.рублей, или 32,4%; 2023 год снижение на 51326,8 тыс. рублей или -14,8%; 2024 год рост на – 67226,4 тыс.рублей, или 22,8%.</w:t>
      </w:r>
    </w:p>
    <w:p w14:paraId="27000000">
      <w:pPr>
        <w:widowControl w:val="1"/>
        <w:ind w:firstLine="709"/>
        <w:jc w:val="both"/>
        <w:rPr>
          <w:sz w:val="28"/>
        </w:rPr>
      </w:pPr>
      <w:r>
        <w:rPr>
          <w:sz w:val="28"/>
        </w:rPr>
        <w:t xml:space="preserve">Наибольший рост в 2024 году  составили поступления от налоговых </w:t>
      </w:r>
      <w:r>
        <w:rPr>
          <w:sz w:val="28"/>
        </w:rPr>
        <w:t xml:space="preserve">и неналоговых </w:t>
      </w:r>
      <w:r>
        <w:rPr>
          <w:sz w:val="28"/>
        </w:rPr>
        <w:t xml:space="preserve">доходов, в том числе от: </w:t>
      </w:r>
    </w:p>
    <w:p w14:paraId="28000000">
      <w:pPr>
        <w:widowControl w:val="1"/>
        <w:ind w:firstLine="709"/>
        <w:jc w:val="both"/>
        <w:rPr>
          <w:sz w:val="28"/>
        </w:rPr>
      </w:pPr>
      <w:r>
        <w:rPr>
          <w:sz w:val="28"/>
        </w:rPr>
        <w:t xml:space="preserve">- налога на доходы физических лиц, что связано с ростом фонда оплаты труда; </w:t>
      </w:r>
    </w:p>
    <w:p w14:paraId="29000000">
      <w:pPr>
        <w:widowControl w:val="1"/>
        <w:ind w:firstLine="709"/>
        <w:jc w:val="both"/>
        <w:rPr>
          <w:sz w:val="28"/>
        </w:rPr>
      </w:pPr>
      <w:r>
        <w:rPr>
          <w:sz w:val="28"/>
        </w:rPr>
        <w:t>- упрощенной системы налогообложения по данному налогу в основном обусловлено ростом цен на реализуемые юридическими лицами и предпримателями товары, работы, услуги, что сформировало более высокий доход ЮЛ и ИП и налогооблагаемую базу. Кроме этого, в 2023 году налогоплательщиками активно применялись льготные (пониженные) ставки налога, согласно Закона Кемеровской области №99-ОЗ от 26.11.2008г. В 2024 году критерии для применения льготных ставок налога значительно сократились, налогоплательщики обязаны применять обычные ставки налога, установленные Налоговым Кодексом РФ, что способствовало увеличению размера исчисленного и уплаченного налога по УСН;</w:t>
      </w:r>
    </w:p>
    <w:p w14:paraId="2A000000">
      <w:pPr>
        <w:widowControl w:val="1"/>
        <w:ind w:firstLine="709"/>
        <w:jc w:val="both"/>
        <w:rPr>
          <w:sz w:val="28"/>
        </w:rPr>
      </w:pPr>
      <w:r>
        <w:rPr>
          <w:sz w:val="28"/>
        </w:rPr>
        <w:t>- увеличение поступлений государственной пошлины связано с многократным ростом госпошлин с 9 сентября 2024 года в соответствии с изменением налогового законодательства</w:t>
      </w:r>
      <w:r>
        <w:rPr>
          <w:sz w:val="28"/>
        </w:rPr>
        <w:t>;</w:t>
      </w:r>
    </w:p>
    <w:p w14:paraId="2B000000">
      <w:pPr>
        <w:widowControl w:val="1"/>
        <w:ind w:firstLine="709"/>
        <w:jc w:val="both"/>
        <w:rPr>
          <w:sz w:val="28"/>
        </w:rPr>
      </w:pPr>
      <w:r>
        <w:rPr>
          <w:sz w:val="28"/>
        </w:rPr>
        <w:t xml:space="preserve">- </w:t>
      </w:r>
      <w:r>
        <w:rPr>
          <w:sz w:val="28"/>
        </w:rPr>
        <w:t>доход</w:t>
      </w:r>
      <w:r>
        <w:rPr>
          <w:sz w:val="28"/>
        </w:rPr>
        <w:t>ы</w:t>
      </w:r>
      <w:r>
        <w:rPr>
          <w:sz w:val="28"/>
        </w:rPr>
        <w:t xml:space="preserve"> от продажи земельных участков, государс</w:t>
      </w:r>
      <w:r>
        <w:rPr>
          <w:sz w:val="28"/>
        </w:rPr>
        <w:t>т</w:t>
      </w:r>
      <w:r>
        <w:rPr>
          <w:sz w:val="28"/>
        </w:rPr>
        <w:t>венная собственность на которые не разграничена, на 23</w:t>
      </w:r>
      <w:r>
        <w:rPr>
          <w:sz w:val="28"/>
        </w:rPr>
        <w:t xml:space="preserve"> </w:t>
      </w:r>
      <w:r>
        <w:rPr>
          <w:sz w:val="28"/>
        </w:rPr>
        <w:t>379,6  тыс. рублей  или в 3,7 раз больше уровня  2023 г., что связано с ростом спроса на оформление земельных участков сельскохозяйственного назначения в собственность. Рост  поступлений от данного вида доходов обусловлен единовременной  продажей 15-ти земельных участков сел</w:t>
      </w:r>
      <w:r>
        <w:rPr>
          <w:sz w:val="28"/>
        </w:rPr>
        <w:t>ь</w:t>
      </w:r>
      <w:r>
        <w:rPr>
          <w:sz w:val="28"/>
        </w:rPr>
        <w:t>скохозяйственного назначения ООО «Усть-Сертинское» на сумму 28733,5 тыс. рублей</w:t>
      </w:r>
      <w:r>
        <w:rPr>
          <w:sz w:val="28"/>
        </w:rPr>
        <w:t>;</w:t>
      </w:r>
      <w:r>
        <w:rPr>
          <w:sz w:val="28"/>
        </w:rPr>
        <w:t xml:space="preserve"> Кемеровский областной потребительский союз приобрел два участка земли на сумму 906,0 тыс. рублей</w:t>
      </w:r>
      <w:r>
        <w:rPr>
          <w:sz w:val="28"/>
        </w:rPr>
        <w:t>;</w:t>
      </w:r>
      <w:r>
        <w:rPr>
          <w:sz w:val="28"/>
        </w:rPr>
        <w:t xml:space="preserve"> 2409,2 тыс. рублей поступило от продажи участков физическим лицам.</w:t>
      </w:r>
    </w:p>
    <w:p w14:paraId="2C000000">
      <w:pPr>
        <w:widowControl w:val="1"/>
        <w:ind w:firstLine="709"/>
        <w:jc w:val="both"/>
        <w:rPr>
          <w:sz w:val="28"/>
        </w:rPr>
      </w:pPr>
      <w:r>
        <w:rPr>
          <w:sz w:val="28"/>
        </w:rPr>
        <w:t>Росту доходов способствовали изменения бюджетного и налогового законодательства Российской Федерации и Кемеровской области, а так же проводимый комплекс мероприятий по повышению поступлений налоговых и неналоговых доходов, сокращению недоимки по уплате налогов, сборов и иных обязательных платежей в бюджет Крапивинского муниципального округа.</w:t>
      </w:r>
    </w:p>
    <w:p w14:paraId="2D000000">
      <w:pPr>
        <w:widowControl w:val="1"/>
        <w:ind w:firstLine="709"/>
        <w:jc w:val="both"/>
        <w:rPr>
          <w:sz w:val="28"/>
        </w:rPr>
      </w:pPr>
      <w:r>
        <w:rPr>
          <w:sz w:val="28"/>
        </w:rPr>
        <w:t xml:space="preserve">При этом рост расходов бюджета округа составил: в 2022 году – </w:t>
      </w:r>
      <w:r>
        <w:rPr>
          <w:sz w:val="28"/>
        </w:rPr>
        <w:t>174170,1</w:t>
      </w:r>
      <w:r>
        <w:rPr>
          <w:sz w:val="28"/>
        </w:rPr>
        <w:t xml:space="preserve"> тыс. рублей, или </w:t>
      </w:r>
      <w:r>
        <w:rPr>
          <w:sz w:val="28"/>
        </w:rPr>
        <w:t>11,7</w:t>
      </w:r>
      <w:r>
        <w:rPr>
          <w:sz w:val="28"/>
        </w:rPr>
        <w:t>%; в 202</w:t>
      </w:r>
      <w:r>
        <w:rPr>
          <w:sz w:val="28"/>
        </w:rPr>
        <w:t>3</w:t>
      </w:r>
      <w:r>
        <w:rPr>
          <w:sz w:val="28"/>
        </w:rPr>
        <w:t xml:space="preserve"> году – </w:t>
      </w:r>
      <w:r>
        <w:rPr>
          <w:sz w:val="28"/>
        </w:rPr>
        <w:t>155803,5</w:t>
      </w:r>
      <w:r>
        <w:rPr>
          <w:sz w:val="28"/>
        </w:rPr>
        <w:t xml:space="preserve"> тыс. рублей, или </w:t>
      </w:r>
      <w:r>
        <w:rPr>
          <w:sz w:val="28"/>
        </w:rPr>
        <w:t>9,4</w:t>
      </w:r>
      <w:r>
        <w:rPr>
          <w:sz w:val="28"/>
        </w:rPr>
        <w:t xml:space="preserve">%; </w:t>
      </w:r>
      <w:r>
        <w:rPr>
          <w:sz w:val="28"/>
        </w:rPr>
        <w:t>в</w:t>
      </w:r>
      <w:r>
        <w:rPr>
          <w:sz w:val="28"/>
        </w:rPr>
        <w:t xml:space="preserve"> </w:t>
      </w:r>
      <w:r>
        <w:rPr>
          <w:sz w:val="28"/>
        </w:rPr>
        <w:t>202</w:t>
      </w:r>
      <w:r>
        <w:rPr>
          <w:sz w:val="28"/>
        </w:rPr>
        <w:t>4</w:t>
      </w:r>
      <w:r>
        <w:rPr>
          <w:sz w:val="28"/>
        </w:rPr>
        <w:t xml:space="preserve"> год</w:t>
      </w:r>
      <w:r>
        <w:rPr>
          <w:sz w:val="28"/>
        </w:rPr>
        <w:t>у</w:t>
      </w:r>
      <w:r>
        <w:rPr>
          <w:sz w:val="28"/>
        </w:rPr>
        <w:t xml:space="preserve"> – </w:t>
      </w:r>
      <w:r>
        <w:rPr>
          <w:sz w:val="28"/>
        </w:rPr>
        <w:t>684588,3</w:t>
      </w:r>
      <w:r>
        <w:rPr>
          <w:sz w:val="28"/>
        </w:rPr>
        <w:t xml:space="preserve"> тыс. рублей, или </w:t>
      </w:r>
      <w:r>
        <w:rPr>
          <w:sz w:val="28"/>
        </w:rPr>
        <w:t>37,7</w:t>
      </w:r>
      <w:r>
        <w:rPr>
          <w:sz w:val="28"/>
        </w:rPr>
        <w:t xml:space="preserve">%. </w:t>
      </w:r>
    </w:p>
    <w:p w14:paraId="2E000000">
      <w:pPr>
        <w:widowControl w:val="1"/>
        <w:ind w:firstLine="709"/>
        <w:jc w:val="both"/>
        <w:rPr>
          <w:sz w:val="28"/>
        </w:rPr>
      </w:pPr>
      <w:r>
        <w:rPr>
          <w:sz w:val="28"/>
        </w:rPr>
        <w:t>В результате по итогам 202</w:t>
      </w:r>
      <w:r>
        <w:rPr>
          <w:sz w:val="28"/>
        </w:rPr>
        <w:t>1</w:t>
      </w:r>
      <w:r>
        <w:rPr>
          <w:sz w:val="28"/>
        </w:rPr>
        <w:t xml:space="preserve"> года сложился</w:t>
      </w:r>
      <w:r>
        <w:rPr>
          <w:sz w:val="28"/>
        </w:rPr>
        <w:t xml:space="preserve"> профицит </w:t>
      </w:r>
      <w:r>
        <w:rPr>
          <w:sz w:val="28"/>
        </w:rPr>
        <w:t xml:space="preserve">бюджета округа в размере </w:t>
      </w:r>
      <w:r>
        <w:rPr>
          <w:sz w:val="28"/>
        </w:rPr>
        <w:t>19277,7</w:t>
      </w:r>
      <w:r>
        <w:rPr>
          <w:sz w:val="28"/>
        </w:rPr>
        <w:t xml:space="preserve"> тыс. рублей,  по итогам 2022 года –</w:t>
      </w:r>
      <w:r>
        <w:rPr>
          <w:sz w:val="28"/>
        </w:rPr>
        <w:t xml:space="preserve"> дефицит</w:t>
      </w:r>
      <w:r>
        <w:rPr>
          <w:sz w:val="28"/>
        </w:rPr>
        <w:t xml:space="preserve"> в размере </w:t>
      </w:r>
      <w:r>
        <w:rPr>
          <w:sz w:val="28"/>
        </w:rPr>
        <w:t>10115,2</w:t>
      </w:r>
      <w:r>
        <w:rPr>
          <w:sz w:val="28"/>
        </w:rPr>
        <w:t xml:space="preserve"> тыс. рублей, по итогам 2023 года –  профицит в размере </w:t>
      </w:r>
      <w:r>
        <w:rPr>
          <w:sz w:val="28"/>
        </w:rPr>
        <w:t>2486,7</w:t>
      </w:r>
      <w:r>
        <w:rPr>
          <w:sz w:val="28"/>
        </w:rPr>
        <w:t xml:space="preserve"> тыс. рублей, а по итогам 202</w:t>
      </w:r>
      <w:r>
        <w:rPr>
          <w:sz w:val="28"/>
        </w:rPr>
        <w:t>4</w:t>
      </w:r>
      <w:r>
        <w:rPr>
          <w:sz w:val="28"/>
        </w:rPr>
        <w:t xml:space="preserve"> года </w:t>
      </w:r>
      <w:r>
        <w:rPr>
          <w:sz w:val="28"/>
        </w:rPr>
        <w:t xml:space="preserve">профицит </w:t>
      </w:r>
      <w:r>
        <w:rPr>
          <w:sz w:val="28"/>
        </w:rPr>
        <w:t>–</w:t>
      </w:r>
      <w:r>
        <w:rPr>
          <w:sz w:val="28"/>
        </w:rPr>
        <w:t xml:space="preserve"> 4240,4 тыс. рублей.</w:t>
      </w:r>
    </w:p>
    <w:p w14:paraId="2F000000">
      <w:pPr>
        <w:widowControl w:val="0"/>
        <w:ind w:firstLine="540"/>
        <w:jc w:val="center"/>
        <w:rPr>
          <w:sz w:val="28"/>
        </w:rPr>
      </w:pPr>
    </w:p>
    <w:p w14:paraId="30000000">
      <w:pPr>
        <w:widowControl w:val="0"/>
        <w:ind/>
        <w:jc w:val="center"/>
        <w:rPr>
          <w:b w:val="1"/>
          <w:i w:val="1"/>
          <w:sz w:val="28"/>
        </w:rPr>
      </w:pPr>
      <w:r>
        <w:rPr>
          <w:b w:val="1"/>
          <w:i w:val="1"/>
          <w:sz w:val="28"/>
        </w:rPr>
        <w:t>Обеспечение роста налоговых и неналоговых доходов бюджет</w:t>
      </w:r>
      <w:r>
        <w:rPr>
          <w:b w:val="1"/>
          <w:i w:val="1"/>
          <w:sz w:val="28"/>
        </w:rPr>
        <w:t>а</w:t>
      </w:r>
      <w:r>
        <w:rPr>
          <w:i w:val="1"/>
          <w:sz w:val="28"/>
        </w:rPr>
        <w:t xml:space="preserve"> </w:t>
      </w:r>
      <w:r>
        <w:rPr>
          <w:b w:val="1"/>
          <w:i w:val="1"/>
          <w:sz w:val="28"/>
        </w:rPr>
        <w:t>Крапивинского муниципального округа</w:t>
      </w:r>
    </w:p>
    <w:p w14:paraId="31000000">
      <w:pPr>
        <w:widowControl w:val="0"/>
        <w:ind w:firstLine="540"/>
        <w:jc w:val="center"/>
        <w:rPr>
          <w:sz w:val="28"/>
        </w:rPr>
      </w:pPr>
    </w:p>
    <w:p w14:paraId="32000000">
      <w:pPr>
        <w:widowControl w:val="1"/>
        <w:ind/>
        <w:jc w:val="center"/>
        <w:rPr>
          <w:i w:val="1"/>
          <w:sz w:val="28"/>
        </w:rPr>
      </w:pPr>
      <w:r>
        <w:rPr>
          <w:i w:val="1"/>
          <w:sz w:val="28"/>
        </w:rPr>
        <w:t xml:space="preserve">Основные направления по увеличению доходов бюджета </w:t>
      </w:r>
      <w:r>
        <w:rPr>
          <w:i w:val="1"/>
          <w:sz w:val="28"/>
        </w:rPr>
        <w:t>Крапивинского муниципального округа</w:t>
      </w:r>
    </w:p>
    <w:p w14:paraId="33000000">
      <w:pPr>
        <w:widowControl w:val="0"/>
        <w:ind w:firstLine="540"/>
        <w:jc w:val="both"/>
        <w:rPr>
          <w:sz w:val="28"/>
        </w:rPr>
      </w:pPr>
      <w:r>
        <w:rPr>
          <w:sz w:val="28"/>
        </w:rPr>
        <w:t>1.</w:t>
      </w:r>
      <w:r>
        <w:rPr>
          <w:sz w:val="28"/>
        </w:rPr>
        <w:t xml:space="preserve"> </w:t>
      </w:r>
      <w:r>
        <w:rPr>
          <w:sz w:val="28"/>
        </w:rPr>
        <w:t>Системная работа по улучшению инвестиционного климата и созданию условий для развития субъектов малого и среднего предпринимательства в округе.</w:t>
      </w:r>
    </w:p>
    <w:p w14:paraId="34000000">
      <w:pPr>
        <w:widowControl w:val="1"/>
        <w:ind w:firstLine="567"/>
        <w:jc w:val="both"/>
        <w:rPr>
          <w:color w:val="000000"/>
          <w:sz w:val="32"/>
        </w:rPr>
      </w:pPr>
      <w:r>
        <w:rPr>
          <w:color w:val="000000"/>
          <w:sz w:val="28"/>
        </w:rPr>
        <w:t>Значимую роль в социально-экономическом развитии округа играет малый и средний бизнес.  Сегодня в округе осуществляют деятельность 312 субъектов, за этот год вновь зарегистрировано 25 субъектов малого предпринимательства, организовано 200 рабочих мест. Они осуществляют деятельность во всех сферах экономики. Основная часть занимается торговлей, общественным питанием и бытовым обслуживанием. С начала текущего года 32 человека оформились как</w:t>
      </w:r>
      <w:r>
        <w:rPr>
          <w:color w:val="000000"/>
          <w:sz w:val="32"/>
        </w:rPr>
        <w:t xml:space="preserve"> </w:t>
      </w:r>
      <w:r>
        <w:rPr>
          <w:color w:val="000000"/>
          <w:sz w:val="28"/>
        </w:rPr>
        <w:t xml:space="preserve">самозанятые </w:t>
      </w:r>
      <w:r>
        <w:rPr>
          <w:i w:val="1"/>
          <w:color w:val="000000"/>
          <w:sz w:val="28"/>
        </w:rPr>
        <w:t>(всего с 2021 года – 363 самозанятых).</w:t>
      </w:r>
      <w:r>
        <w:rPr>
          <w:color w:val="000000"/>
          <w:sz w:val="32"/>
        </w:rPr>
        <w:t xml:space="preserve"> </w:t>
      </w:r>
    </w:p>
    <w:p w14:paraId="35000000">
      <w:pPr>
        <w:widowControl w:val="1"/>
        <w:ind w:firstLine="567"/>
        <w:jc w:val="both"/>
        <w:rPr>
          <w:sz w:val="28"/>
        </w:rPr>
      </w:pPr>
      <w:r>
        <w:rPr>
          <w:sz w:val="28"/>
        </w:rPr>
        <w:t>Крапивинский муниципальный округ имеет ряд преимуществ перед другими муниципальными образованиями: это плодородные земли, наличие разведанных запасов природных ископаемых (уголь, цеолиты, мрамор, базальты, агаты, минеральная вода, инертные материалы), благоприятная экологическая обстановка, возможность развития сферы туризма, санаторно-курортного лечения.</w:t>
      </w:r>
    </w:p>
    <w:p w14:paraId="36000000">
      <w:pPr>
        <w:widowControl w:val="1"/>
        <w:ind w:firstLine="567"/>
        <w:jc w:val="both"/>
        <w:rPr>
          <w:sz w:val="28"/>
        </w:rPr>
      </w:pPr>
      <w:r>
        <w:rPr>
          <w:sz w:val="28"/>
        </w:rPr>
        <w:t>Недостаточная инвестиционная активность является одной из наиболее важных проблем социально-экономического развития округа.</w:t>
      </w:r>
    </w:p>
    <w:p w14:paraId="37000000">
      <w:pPr>
        <w:widowControl w:val="1"/>
        <w:ind w:firstLine="567"/>
        <w:jc w:val="both"/>
        <w:rPr>
          <w:sz w:val="28"/>
        </w:rPr>
      </w:pPr>
      <w:r>
        <w:rPr>
          <w:sz w:val="28"/>
        </w:rPr>
        <w:t>Инвестиционная политика Крапивинского муниципального округа направлена на стимулирование инвестиционной деятельности и включает комплекс организационных, правовых, финансово-экономических и иных мер, осуществляемых органами местного самоуправления.</w:t>
      </w:r>
    </w:p>
    <w:p w14:paraId="38000000">
      <w:pPr>
        <w:widowControl w:val="1"/>
        <w:ind w:firstLine="567"/>
        <w:jc w:val="both"/>
        <w:rPr>
          <w:sz w:val="28"/>
        </w:rPr>
      </w:pPr>
      <w:r>
        <w:rPr>
          <w:sz w:val="28"/>
        </w:rPr>
        <w:t>Приоритетными сферами вложения инвестиций считаются модернизация сельского хозяйства, разработка новых месторождений полезных ископаемых, развитие лесопереработки, зон отдыха, пищевой промышленности, сферы бытовых услуг, формирование туристического бизнеса</w:t>
      </w:r>
      <w:r>
        <w:rPr>
          <w:sz w:val="28"/>
        </w:rPr>
        <w:t>.</w:t>
      </w:r>
      <w:r>
        <w:rPr>
          <w:sz w:val="28"/>
        </w:rPr>
        <w:t xml:space="preserve"> </w:t>
      </w:r>
    </w:p>
    <w:p w14:paraId="39000000">
      <w:pPr>
        <w:widowControl w:val="1"/>
        <w:ind w:firstLine="708"/>
        <w:jc w:val="both"/>
        <w:rPr>
          <w:sz w:val="28"/>
        </w:rPr>
      </w:pPr>
      <w:r>
        <w:rPr>
          <w:sz w:val="28"/>
        </w:rPr>
        <w:t>1. В целях развития сельского хозяйства ведется работа по оформлению земли. За период 2020-2024 года введено в оборот 13,5 тыс. га брошенных земель (в 2024 году – 624,5 га, в том числе ООО «Банновское» (500 га), ООО «Агрохолдинг «Кузбасский» (111 га), ИП Шефер В.Р. (13,5га).</w:t>
      </w:r>
    </w:p>
    <w:p w14:paraId="3A000000">
      <w:pPr>
        <w:widowControl w:val="1"/>
        <w:ind w:firstLine="708"/>
        <w:jc w:val="both"/>
        <w:rPr>
          <w:sz w:val="28"/>
        </w:rPr>
      </w:pPr>
      <w:r>
        <w:rPr>
          <w:sz w:val="28"/>
        </w:rPr>
        <w:t>2. Промышленность в Крапивинском округе ориентирована на использование имеющихся природно-сырьевых ресурсов и переработку сельскохозяйственного сырья.</w:t>
      </w:r>
    </w:p>
    <w:p w14:paraId="3B000000">
      <w:pPr>
        <w:widowControl w:val="1"/>
        <w:ind w:firstLine="708"/>
        <w:jc w:val="both"/>
        <w:rPr>
          <w:sz w:val="28"/>
        </w:rPr>
      </w:pPr>
      <w:r>
        <w:rPr>
          <w:sz w:val="28"/>
        </w:rPr>
        <w:t>Основную долю в объеме промышленного производства занимают предприятия по добыче полезных ископаемых – более 40% (ООО «Крапивинский карьер», ООО «Тарадановский каменный карьер», ООО «Сибгеолит»).  За текущий год ими произведено продукции на 770,5 млн. рублей, что составляет 104,0% к 2023 году. Ежегодный рост связан с добычей ПГС ООО «Крапивинский карьер» и ООО «Сибгеолит».</w:t>
      </w:r>
    </w:p>
    <w:p w14:paraId="3C000000">
      <w:pPr>
        <w:widowControl w:val="1"/>
        <w:ind w:firstLine="708"/>
        <w:jc w:val="both"/>
        <w:rPr>
          <w:sz w:val="28"/>
        </w:rPr>
      </w:pPr>
      <w:r>
        <w:rPr>
          <w:sz w:val="28"/>
        </w:rPr>
        <w:t xml:space="preserve">Увеличивается производство товаров и услуг (168,9%) по виду экономической деятельности «Обрабатывающие производства» и составляет 570,1 млн. руб. Это связано с увеличением работ по заготовлению и переработке древесины (ИП Калинецкий А.Н., ИП Епонешников Д.С., Антоненко А.Н.), а также увеличением объемов выпуска продукции ЗАО «Зеленогорский </w:t>
      </w:r>
      <w:r>
        <w:rPr>
          <w:sz w:val="28"/>
        </w:rPr>
        <w:t>З</w:t>
      </w:r>
      <w:r>
        <w:rPr>
          <w:sz w:val="28"/>
        </w:rPr>
        <w:t>ЖБИ» (133%).</w:t>
      </w:r>
    </w:p>
    <w:p w14:paraId="3D000000">
      <w:pPr>
        <w:widowControl w:val="1"/>
        <w:ind w:firstLine="708"/>
        <w:jc w:val="both"/>
        <w:rPr>
          <w:sz w:val="28"/>
        </w:rPr>
      </w:pPr>
      <w:r>
        <w:rPr>
          <w:sz w:val="28"/>
        </w:rPr>
        <w:t xml:space="preserve">3. Одним из основных драйверов развития Крапивинского муниципального округа является туризм: </w:t>
      </w:r>
    </w:p>
    <w:p w14:paraId="3E000000">
      <w:pPr>
        <w:widowControl w:val="1"/>
        <w:ind w:firstLine="708"/>
        <w:jc w:val="both"/>
        <w:rPr>
          <w:sz w:val="28"/>
        </w:rPr>
      </w:pPr>
      <w:r>
        <w:rPr>
          <w:sz w:val="28"/>
        </w:rPr>
        <w:t>Аллея Интернационалистов в пгт. Зеленогорский прославила себя главным туристическим событием, проводимым на территории округа: проведение конкурса актуального искусства из металлолома «Железное кружево». В рамках данного события также проводится Межрегиональный фестиваль национальных культур «Истоки». Это событие привлекает гостей и туристов, в 2024 году – более 20 тысяч человек.</w:t>
      </w:r>
    </w:p>
    <w:p w14:paraId="3F000000">
      <w:pPr>
        <w:widowControl w:val="1"/>
        <w:ind w:firstLine="708"/>
        <w:jc w:val="both"/>
        <w:rPr>
          <w:sz w:val="28"/>
        </w:rPr>
      </w:pPr>
      <w:r>
        <w:rPr>
          <w:sz w:val="28"/>
        </w:rPr>
        <w:t>Горнолыжный комплекс «Тайдон» в пгт. Зеленогорский пользуется популярностью среди начинающих спортсменов данного вида спорта. За новогодние праздники это место отдыха посетило 3,5 тысячи человек.</w:t>
      </w:r>
    </w:p>
    <w:p w14:paraId="40000000">
      <w:pPr>
        <w:widowControl w:val="1"/>
        <w:ind w:firstLine="708"/>
        <w:jc w:val="both"/>
        <w:rPr>
          <w:sz w:val="28"/>
        </w:rPr>
      </w:pPr>
      <w:r>
        <w:rPr>
          <w:sz w:val="28"/>
        </w:rPr>
        <w:t>Лечебно – оздоровительный отдых в Кузбассе набирает популярность. Крупнейшим оздоровительным учреждением, расположенным на территории Крапивинского муниципального округа, является Санаторий «Борисовский», который должен стать локомотивом санаторно- курортного развития Крапивинского муниципального округа. Количество отдыхающих в санатории «Борисовский» ежегодно растет.</w:t>
      </w:r>
    </w:p>
    <w:p w14:paraId="41000000">
      <w:pPr>
        <w:widowControl w:val="1"/>
        <w:ind w:firstLine="708"/>
        <w:jc w:val="both"/>
        <w:rPr>
          <w:sz w:val="28"/>
        </w:rPr>
      </w:pPr>
      <w:r>
        <w:rPr>
          <w:sz w:val="28"/>
        </w:rPr>
        <w:t>Данные мероприятия будут способствовать привлечению инвесторов, вложений, созданию новых рабочих мест.</w:t>
      </w:r>
    </w:p>
    <w:p w14:paraId="42000000">
      <w:pPr>
        <w:widowControl w:val="1"/>
        <w:ind/>
        <w:jc w:val="both"/>
        <w:rPr>
          <w:sz w:val="28"/>
        </w:rPr>
      </w:pPr>
      <w:r>
        <w:rPr>
          <w:sz w:val="28"/>
        </w:rPr>
        <w:tab/>
      </w:r>
      <w:r>
        <w:rPr>
          <w:sz w:val="28"/>
        </w:rPr>
        <w:t xml:space="preserve"> В целях улучшения инвестиционного климата администрацией округа организован ежедневный прием предпринимателей и инвесторов.</w:t>
      </w:r>
    </w:p>
    <w:p w14:paraId="43000000">
      <w:pPr>
        <w:widowControl w:val="0"/>
        <w:ind/>
        <w:jc w:val="both"/>
        <w:rPr>
          <w:sz w:val="28"/>
        </w:rPr>
      </w:pPr>
      <w:r>
        <w:rPr>
          <w:sz w:val="28"/>
        </w:rPr>
        <w:tab/>
      </w:r>
      <w:r>
        <w:rPr>
          <w:sz w:val="28"/>
        </w:rPr>
        <w:t xml:space="preserve">Для привлечения частных инвестиций на официальном сайте Крапивинского муниципального округа обозначен раздел </w:t>
      </w:r>
      <w:r>
        <w:rPr>
          <w:sz w:val="28"/>
        </w:rPr>
        <w:t>«</w:t>
      </w:r>
      <w:r>
        <w:rPr>
          <w:sz w:val="28"/>
        </w:rPr>
        <w:t>Инвестиционная привлекательность</w:t>
      </w:r>
      <w:r>
        <w:rPr>
          <w:sz w:val="28"/>
        </w:rPr>
        <w:t>»</w:t>
      </w:r>
      <w:r>
        <w:rPr>
          <w:sz w:val="28"/>
        </w:rPr>
        <w:t>, где размещен инвестиционный паспорт Крапивинского муниципального округа, реестр инвестиционных площадок, инвестиционные проекты. Для инвесторов размещена информация для связи.</w:t>
      </w:r>
    </w:p>
    <w:p w14:paraId="44000000">
      <w:pPr>
        <w:widowControl w:val="0"/>
        <w:ind w:firstLine="567"/>
        <w:jc w:val="both"/>
        <w:rPr>
          <w:sz w:val="28"/>
        </w:rPr>
      </w:pPr>
      <w:r>
        <w:rPr>
          <w:sz w:val="28"/>
        </w:rPr>
        <w:t xml:space="preserve">В целях создания на территории Крапивинского муниципального округа благоприятных условий, способствующих активизации инвестиционной деятельности, а также проведения организационных мероприятий, способствующих привлечению инвесторов постановлением Администрации Крапивинского муниципального округа </w:t>
      </w:r>
      <w:r>
        <w:rPr>
          <w:sz w:val="28"/>
        </w:rPr>
        <w:t xml:space="preserve">от 02.12.2024 №1628 утверждена программа «Повышение инвестиционной привлекательности Крапивинского муниципального округа» на 2025-2027 годы. </w:t>
      </w:r>
      <w:r>
        <w:rPr>
          <w:sz w:val="28"/>
        </w:rPr>
        <w:t xml:space="preserve"> Ежегодно разрабатывается инвестиционный паспорт Крапивинского муниципального округа, который утверждается постановлением администрации Крапивинского муниципального округа. </w:t>
      </w:r>
    </w:p>
    <w:p w14:paraId="45000000">
      <w:pPr>
        <w:widowControl w:val="0"/>
        <w:ind/>
        <w:jc w:val="both"/>
        <w:rPr>
          <w:sz w:val="28"/>
        </w:rPr>
      </w:pPr>
    </w:p>
    <w:p w14:paraId="46000000">
      <w:pPr>
        <w:widowControl w:val="1"/>
        <w:ind w:firstLine="709"/>
        <w:jc w:val="both"/>
        <w:rPr>
          <w:sz w:val="28"/>
        </w:rPr>
      </w:pPr>
      <w:r>
        <w:rPr>
          <w:sz w:val="28"/>
        </w:rPr>
        <w:t>2</w:t>
      </w:r>
      <w:r>
        <w:rPr>
          <w:sz w:val="28"/>
        </w:rPr>
        <w:t>. Комплексные меры, направленные на снижение уровня теневой занятости и легализации трудовых отношений</w:t>
      </w:r>
    </w:p>
    <w:p w14:paraId="47000000">
      <w:pPr>
        <w:widowControl w:val="1"/>
        <w:ind w:firstLine="709"/>
        <w:jc w:val="both"/>
        <w:rPr>
          <w:sz w:val="28"/>
        </w:rPr>
      </w:pPr>
    </w:p>
    <w:p w14:paraId="48000000">
      <w:pPr>
        <w:widowControl w:val="0"/>
        <w:ind w:firstLine="540"/>
        <w:jc w:val="both"/>
        <w:rPr>
          <w:sz w:val="28"/>
        </w:rPr>
      </w:pPr>
      <w:r>
        <w:rPr>
          <w:sz w:val="28"/>
        </w:rPr>
        <w:t>Реализуется мероприятия, направленные на снижение неформальной занятости. На территории Крапивинского муниципального округа на постоянной основе действует рабочая группа межведомственной комиссии по противодействию нелегальной занятости в Крапивинском муниципальном округе, состав которой утвержден постановлением администрации Крапивинского муниципального округа от 23.09.2024 № 1234</w:t>
      </w:r>
      <w:r>
        <w:rPr>
          <w:color w:val="000000"/>
          <w:sz w:val="28"/>
          <w:highlight w:val="white"/>
        </w:rPr>
        <w:t>» (в ред. 26.09.2024 № 1260</w:t>
      </w:r>
      <w:r>
        <w:rPr>
          <w:sz w:val="28"/>
        </w:rPr>
        <w:t>)</w:t>
      </w:r>
      <w:r>
        <w:rPr>
          <w:rFonts w:ascii="Verdana" w:hAnsi="Verdana"/>
          <w:color w:val="000000"/>
          <w:sz w:val="18"/>
          <w:highlight w:val="white"/>
        </w:rPr>
        <w:t xml:space="preserve"> </w:t>
      </w:r>
      <w:r>
        <w:rPr>
          <w:color w:val="000000"/>
          <w:sz w:val="28"/>
          <w:highlight w:val="white"/>
        </w:rPr>
        <w:t>«О создании рабочей группы межведомственной комиссии по противодействию нелегальной занятости в Крапивинском муниципальном округе»</w:t>
      </w:r>
      <w:r>
        <w:rPr>
          <w:sz w:val="28"/>
        </w:rPr>
        <w:t>.</w:t>
      </w:r>
    </w:p>
    <w:p w14:paraId="49000000">
      <w:pPr>
        <w:widowControl w:val="0"/>
        <w:ind w:firstLine="540"/>
        <w:jc w:val="both"/>
        <w:rPr>
          <w:sz w:val="28"/>
        </w:rPr>
      </w:pPr>
    </w:p>
    <w:p w14:paraId="4A000000">
      <w:pPr>
        <w:widowControl w:val="1"/>
        <w:ind w:firstLine="709"/>
        <w:rPr>
          <w:sz w:val="28"/>
        </w:rPr>
      </w:pPr>
      <w:r>
        <w:rPr>
          <w:sz w:val="28"/>
        </w:rPr>
        <w:t>3</w:t>
      </w:r>
      <w:r>
        <w:rPr>
          <w:sz w:val="28"/>
        </w:rPr>
        <w:t>. Оптимизация местных налоговых льгот</w:t>
      </w:r>
    </w:p>
    <w:p w14:paraId="4B000000">
      <w:pPr>
        <w:widowControl w:val="1"/>
        <w:ind w:firstLine="709"/>
        <w:rPr>
          <w:sz w:val="28"/>
        </w:rPr>
      </w:pPr>
    </w:p>
    <w:p w14:paraId="4C000000">
      <w:pPr>
        <w:widowControl w:val="1"/>
        <w:ind w:firstLine="709"/>
        <w:jc w:val="both"/>
        <w:rPr>
          <w:sz w:val="28"/>
        </w:rPr>
      </w:pPr>
      <w:r>
        <w:rPr>
          <w:sz w:val="28"/>
        </w:rPr>
        <w:t>В 2024 году проведена оценка налоговых расходов за 2022 год в соответствии с утвержденным постановлением администрации Крапивинского муниципального округа от 08.11.2023г. № 1661 «Об утверждении Положения о формирования перечня налоговых расходов Крапивинского муниципального округа и оценке налоговых расходов Крапивинского муниципального».</w:t>
      </w:r>
    </w:p>
    <w:p w14:paraId="4D000000">
      <w:pPr>
        <w:widowControl w:val="1"/>
        <w:ind w:firstLine="709"/>
        <w:jc w:val="both"/>
        <w:rPr>
          <w:sz w:val="28"/>
        </w:rPr>
      </w:pPr>
      <w:r>
        <w:rPr>
          <w:sz w:val="28"/>
        </w:rPr>
        <w:t>По итогам проведенной оценки с 2021 по 2024 годы налоговые льготы признаны эффективными и предложены к сохранению.</w:t>
      </w:r>
    </w:p>
    <w:p w14:paraId="4E000000">
      <w:pPr>
        <w:widowControl w:val="1"/>
        <w:ind w:firstLine="709"/>
        <w:jc w:val="both"/>
        <w:rPr>
          <w:sz w:val="28"/>
        </w:rPr>
      </w:pPr>
      <w:r>
        <w:rPr>
          <w:sz w:val="28"/>
        </w:rPr>
        <w:t>В 2025-2027 годах продолжится работа по проведению оценки эффективности  налоговых расходов, отмене неэффективных налоговых льгот. Будут сохранены подходы к установлению налоговых льгот при условии положительной оценки их эффективности.</w:t>
      </w:r>
    </w:p>
    <w:p w14:paraId="4F000000">
      <w:pPr>
        <w:widowControl w:val="1"/>
        <w:ind w:firstLine="709"/>
        <w:jc w:val="both"/>
        <w:rPr>
          <w:sz w:val="28"/>
        </w:rPr>
      </w:pPr>
    </w:p>
    <w:p w14:paraId="50000000">
      <w:pPr>
        <w:widowControl w:val="1"/>
        <w:ind w:firstLine="709"/>
        <w:rPr>
          <w:sz w:val="28"/>
        </w:rPr>
      </w:pPr>
      <w:r>
        <w:rPr>
          <w:sz w:val="28"/>
        </w:rPr>
        <w:t>4</w:t>
      </w:r>
      <w:r>
        <w:rPr>
          <w:sz w:val="28"/>
        </w:rPr>
        <w:t>. Повышение эффективности реализации собственных полномочий в сфере земельных и имущественных отношений</w:t>
      </w:r>
    </w:p>
    <w:p w14:paraId="51000000">
      <w:pPr>
        <w:widowControl w:val="0"/>
        <w:ind w:firstLine="540"/>
        <w:jc w:val="both"/>
        <w:rPr>
          <w:sz w:val="28"/>
        </w:rPr>
      </w:pPr>
      <w:r>
        <w:rPr>
          <w:sz w:val="28"/>
        </w:rPr>
        <w:t xml:space="preserve">В 2019 году в связи с преобразованием Крапивинского муниципального района в Крапивинский муниципальный округ принято решение об установлении  и введение в действие земельного налога с максимальными ставками. Решением установлены ставки земельного налога, которые расчитываются от кадастровой стоимости земельных участков в зависимости от их видов. </w:t>
      </w:r>
    </w:p>
    <w:p w14:paraId="52000000">
      <w:pPr>
        <w:widowControl w:val="0"/>
        <w:ind w:firstLine="540"/>
        <w:jc w:val="both"/>
        <w:rPr>
          <w:sz w:val="28"/>
        </w:rPr>
      </w:pPr>
      <w:r>
        <w:rPr>
          <w:sz w:val="28"/>
        </w:rPr>
        <w:t>В методику расчета арендной платы за пользование объектами, находящимися в муниципальной собственности Крапивинского муниципального округа на 2024 год введен дополнительный коэффициент, учитывающий коэффициент инфляции в размере 7,5%.</w:t>
      </w:r>
    </w:p>
    <w:p w14:paraId="53000000">
      <w:pPr>
        <w:widowControl w:val="0"/>
        <w:ind w:firstLine="540"/>
        <w:jc w:val="both"/>
        <w:rPr>
          <w:sz w:val="28"/>
        </w:rPr>
      </w:pPr>
      <w:r>
        <w:rPr>
          <w:sz w:val="28"/>
        </w:rPr>
        <w:t>В результате проводимой комитетом по управлению муниципальным имуществом инвентаризации движимого и недвижимого имущества за 2021-2024 года выявлено и продано неликвидное имущество на общую сумму 14132,5 тыс.рублей.</w:t>
      </w:r>
    </w:p>
    <w:p w14:paraId="54000000">
      <w:pPr>
        <w:widowControl w:val="0"/>
        <w:ind w:firstLine="540"/>
        <w:jc w:val="both"/>
        <w:rPr>
          <w:sz w:val="28"/>
        </w:rPr>
      </w:pPr>
      <w:r>
        <w:rPr>
          <w:sz w:val="28"/>
        </w:rPr>
        <w:t xml:space="preserve">Для взыскания задолженности по арендной плате за пользование земельными участками </w:t>
      </w:r>
      <w:r>
        <w:rPr>
          <w:sz w:val="28"/>
        </w:rPr>
        <w:t>за 2021-2024 годы</w:t>
      </w:r>
      <w:r>
        <w:rPr>
          <w:sz w:val="28"/>
        </w:rPr>
        <w:t xml:space="preserve"> арендаторам направлено 923 претензии и предъявлено 23 иска о взыскании задолженности по арендной плате за землю.</w:t>
      </w:r>
    </w:p>
    <w:p w14:paraId="55000000">
      <w:pPr>
        <w:widowControl w:val="0"/>
        <w:ind w:firstLine="540"/>
        <w:jc w:val="both"/>
        <w:rPr>
          <w:sz w:val="28"/>
        </w:rPr>
      </w:pPr>
      <w:r>
        <w:rPr>
          <w:sz w:val="28"/>
        </w:rPr>
        <w:t>Дополнительный доход бюджета округа составил 18544,6 тыс. рублей.</w:t>
      </w:r>
    </w:p>
    <w:p w14:paraId="56000000">
      <w:pPr>
        <w:widowControl w:val="0"/>
        <w:ind w:firstLine="540"/>
        <w:jc w:val="both"/>
        <w:rPr>
          <w:sz w:val="28"/>
        </w:rPr>
      </w:pPr>
      <w:r>
        <w:rPr>
          <w:sz w:val="28"/>
        </w:rPr>
        <w:t>В результате проведенной работы по выявлению з</w:t>
      </w:r>
      <w:r>
        <w:rPr>
          <w:sz w:val="28"/>
        </w:rPr>
        <w:t>е</w:t>
      </w:r>
      <w:r>
        <w:rPr>
          <w:sz w:val="28"/>
        </w:rPr>
        <w:t>мельных участков, используемых без оформления договорных отношений, з</w:t>
      </w:r>
      <w:r>
        <w:rPr>
          <w:sz w:val="28"/>
        </w:rPr>
        <w:t>а</w:t>
      </w:r>
      <w:r>
        <w:rPr>
          <w:sz w:val="28"/>
        </w:rPr>
        <w:t>ключено 492 договоров аренды ранее неучтенных земельных участков, на су</w:t>
      </w:r>
      <w:r>
        <w:rPr>
          <w:sz w:val="28"/>
        </w:rPr>
        <w:t>м</w:t>
      </w:r>
      <w:r>
        <w:rPr>
          <w:sz w:val="28"/>
        </w:rPr>
        <w:t>му 5066,4тыс.рублей.</w:t>
      </w:r>
    </w:p>
    <w:p w14:paraId="57000000">
      <w:pPr>
        <w:widowControl w:val="1"/>
        <w:ind w:firstLine="709"/>
        <w:jc w:val="both"/>
        <w:rPr>
          <w:sz w:val="28"/>
        </w:rPr>
      </w:pPr>
      <w:r>
        <w:rPr>
          <w:sz w:val="28"/>
        </w:rPr>
        <w:t xml:space="preserve">Ежегодно проводится индексация </w:t>
      </w:r>
      <w:r>
        <w:rPr>
          <w:sz w:val="28"/>
        </w:rPr>
        <w:t>ставок арендной платы за землю:</w:t>
      </w:r>
    </w:p>
    <w:p w14:paraId="58000000">
      <w:pPr>
        <w:widowControl w:val="1"/>
        <w:ind w:firstLine="709"/>
        <w:jc w:val="both"/>
        <w:rPr>
          <w:i w:val="1"/>
          <w:sz w:val="28"/>
        </w:rPr>
      </w:pPr>
      <w:r>
        <w:rPr>
          <w:i w:val="1"/>
          <w:sz w:val="28"/>
        </w:rPr>
        <w:t>на 2022 год – установлен коэффициент, учитывающий уровень инфляции, в размере 1,04;</w:t>
      </w:r>
    </w:p>
    <w:p w14:paraId="59000000">
      <w:pPr>
        <w:widowControl w:val="1"/>
        <w:ind w:firstLine="709"/>
        <w:jc w:val="both"/>
        <w:rPr>
          <w:sz w:val="28"/>
        </w:rPr>
      </w:pPr>
      <w:r>
        <w:rPr>
          <w:sz w:val="28"/>
        </w:rPr>
        <w:t xml:space="preserve">в 2023 году – в связи с переоценкой государственной  кадастровой стоимости земель, проведенной в 2022 году,  размер арендной платы за земли </w:t>
      </w:r>
      <w:r>
        <w:rPr>
          <w:sz w:val="28"/>
        </w:rPr>
        <w:t>не может превышать размер арендной платы за земельные участки, установленный на 2022 год, более чем в 1,152 раза .</w:t>
      </w:r>
    </w:p>
    <w:p w14:paraId="5A000000">
      <w:pPr>
        <w:widowControl w:val="1"/>
        <w:ind w:firstLine="709"/>
        <w:jc w:val="both"/>
        <w:rPr>
          <w:sz w:val="28"/>
        </w:rPr>
      </w:pPr>
      <w:r>
        <w:rPr>
          <w:sz w:val="28"/>
        </w:rPr>
        <w:t xml:space="preserve">в 2024 году – размер арендной платы за земли </w:t>
      </w:r>
      <w:r>
        <w:rPr>
          <w:sz w:val="28"/>
        </w:rPr>
        <w:t>не может превышать размер арендной платы за земельные участки, установленный на 2023 год, более чем в 1,045 раза .</w:t>
      </w:r>
    </w:p>
    <w:p w14:paraId="5B000000">
      <w:pPr>
        <w:widowControl w:val="1"/>
        <w:ind w:firstLine="709"/>
        <w:jc w:val="both"/>
        <w:rPr>
          <w:sz w:val="28"/>
        </w:rPr>
      </w:pPr>
    </w:p>
    <w:p w14:paraId="5C000000">
      <w:pPr>
        <w:widowControl w:val="0"/>
        <w:ind/>
        <w:jc w:val="center"/>
        <w:rPr>
          <w:sz w:val="28"/>
        </w:rPr>
      </w:pPr>
    </w:p>
    <w:p w14:paraId="5D000000">
      <w:pPr>
        <w:widowControl w:val="0"/>
        <w:ind/>
        <w:jc w:val="center"/>
        <w:rPr>
          <w:b w:val="1"/>
          <w:i w:val="1"/>
          <w:sz w:val="28"/>
        </w:rPr>
      </w:pPr>
      <w:r>
        <w:rPr>
          <w:b w:val="1"/>
          <w:i w:val="1"/>
          <w:sz w:val="28"/>
        </w:rPr>
        <w:t>Реализация мер по оптимизации бюджетных расходов и повышению эффективности использования бюджетных средств</w:t>
      </w:r>
    </w:p>
    <w:p w14:paraId="5E000000">
      <w:pPr>
        <w:widowControl w:val="0"/>
        <w:ind/>
        <w:jc w:val="center"/>
        <w:rPr>
          <w:sz w:val="28"/>
        </w:rPr>
      </w:pPr>
    </w:p>
    <w:p w14:paraId="5F000000">
      <w:pPr>
        <w:widowControl w:val="1"/>
        <w:ind w:firstLine="709"/>
        <w:jc w:val="both"/>
        <w:rPr>
          <w:sz w:val="28"/>
        </w:rPr>
      </w:pPr>
      <w:r>
        <w:rPr>
          <w:sz w:val="28"/>
        </w:rPr>
        <w:t xml:space="preserve">В </w:t>
      </w:r>
      <w:r>
        <w:rPr>
          <w:sz w:val="28"/>
        </w:rPr>
        <w:t>Крапивинском муниципальном округе</w:t>
      </w:r>
      <w:r>
        <w:rPr>
          <w:sz w:val="28"/>
        </w:rPr>
        <w:t xml:space="preserve"> </w:t>
      </w:r>
      <w:r>
        <w:rPr>
          <w:sz w:val="28"/>
        </w:rPr>
        <w:t xml:space="preserve">на протяжении ряда лет осуществляется работа по оптимизации бюджетных расходов. </w:t>
      </w:r>
      <w:r>
        <w:rPr>
          <w:sz w:val="28"/>
        </w:rPr>
        <w:t xml:space="preserve">В целях концентрации бюджетных ресурсов на выполнении важнейших ключевых задач, поставленных перед </w:t>
      </w:r>
      <w:r>
        <w:rPr>
          <w:sz w:val="28"/>
        </w:rPr>
        <w:t>муниципалитетом</w:t>
      </w:r>
      <w:r>
        <w:rPr>
          <w:sz w:val="28"/>
        </w:rPr>
        <w:t>, были приняты следующие меры по оптимизации расходов бюджета</w:t>
      </w:r>
      <w:r>
        <w:rPr>
          <w:sz w:val="28"/>
        </w:rPr>
        <w:t>:</w:t>
      </w:r>
    </w:p>
    <w:p w14:paraId="60000000">
      <w:pPr>
        <w:widowControl w:val="1"/>
        <w:ind w:firstLine="709"/>
        <w:jc w:val="both"/>
        <w:rPr>
          <w:sz w:val="28"/>
        </w:rPr>
      </w:pPr>
      <w:r>
        <w:rPr>
          <w:sz w:val="28"/>
        </w:rPr>
        <w:t xml:space="preserve">1. Социальные выплаты и льготы, </w:t>
      </w:r>
      <w:r>
        <w:rPr>
          <w:sz w:val="28"/>
        </w:rPr>
        <w:t xml:space="preserve">установленные региональными </w:t>
      </w:r>
      <w:r>
        <w:rPr>
          <w:sz w:val="28"/>
        </w:rPr>
        <w:t xml:space="preserve">и муниципальными </w:t>
      </w:r>
      <w:r>
        <w:rPr>
          <w:sz w:val="28"/>
        </w:rPr>
        <w:t xml:space="preserve">нормативными правовыми актами, осуществляются с учетом принципов адресности и нуждаемости. </w:t>
      </w:r>
    </w:p>
    <w:p w14:paraId="61000000">
      <w:pPr>
        <w:widowControl w:val="1"/>
        <w:ind w:firstLine="709"/>
        <w:jc w:val="both"/>
        <w:rPr>
          <w:sz w:val="28"/>
        </w:rPr>
      </w:pPr>
      <w:r>
        <w:rPr>
          <w:sz w:val="28"/>
        </w:rPr>
        <w:t>В социальной сфере предоставление мер социальной поддержки всем категориям граждан осуществляется с учетом введенных критериев нуждаемости и адресности.</w:t>
      </w:r>
    </w:p>
    <w:p w14:paraId="62000000">
      <w:pPr>
        <w:widowControl w:val="1"/>
        <w:ind w:firstLine="709"/>
        <w:jc w:val="both"/>
        <w:rPr>
          <w:sz w:val="28"/>
        </w:rPr>
      </w:pPr>
    </w:p>
    <w:p w14:paraId="63000000">
      <w:pPr>
        <w:widowControl w:val="1"/>
        <w:ind w:firstLine="709"/>
        <w:jc w:val="both"/>
        <w:rPr>
          <w:sz w:val="28"/>
        </w:rPr>
      </w:pPr>
      <w:r>
        <w:rPr>
          <w:sz w:val="28"/>
        </w:rPr>
        <w:t xml:space="preserve">2. </w:t>
      </w:r>
      <w:r>
        <w:rPr>
          <w:sz w:val="28"/>
        </w:rPr>
        <w:t>В сфере муниципального управления осуществляется постоянный контроль за соблюдением органами местного самоуправления нормативов формирования расходов на оплату труда депутатов, выборных должностных лиц местного самоуправления, осуществляющих свои полномочия</w:t>
      </w:r>
      <w:r>
        <w:rPr>
          <w:sz w:val="28"/>
        </w:rPr>
        <w:t xml:space="preserve"> </w:t>
      </w:r>
      <w:r>
        <w:rPr>
          <w:sz w:val="28"/>
        </w:rPr>
        <w:t xml:space="preserve">на постоянной основе, и муниципальных служащих, установленных постановлением Правительства </w:t>
      </w:r>
      <w:r>
        <w:rPr>
          <w:sz w:val="28"/>
        </w:rPr>
        <w:t xml:space="preserve">Кемеровской области </w:t>
      </w:r>
      <w:r>
        <w:rPr>
          <w:sz w:val="28"/>
        </w:rPr>
        <w:t>–</w:t>
      </w:r>
      <w:r>
        <w:rPr>
          <w:sz w:val="28"/>
        </w:rPr>
        <w:t xml:space="preserve"> Кузбасса</w:t>
      </w:r>
      <w:r>
        <w:rPr>
          <w:sz w:val="28"/>
        </w:rPr>
        <w:t xml:space="preserve"> </w:t>
      </w:r>
      <w:r>
        <w:rPr>
          <w:sz w:val="28"/>
        </w:rPr>
        <w:t>от 22.12.2021</w:t>
      </w:r>
      <w:r>
        <w:rPr>
          <w:sz w:val="28"/>
        </w:rPr>
        <w:t xml:space="preserve"> </w:t>
      </w:r>
      <w:r>
        <w:rPr>
          <w:sz w:val="28"/>
        </w:rPr>
        <w:t>№ 767.</w:t>
      </w:r>
    </w:p>
    <w:p w14:paraId="64000000">
      <w:pPr>
        <w:widowControl w:val="1"/>
        <w:ind w:firstLine="709"/>
        <w:jc w:val="both"/>
        <w:rPr>
          <w:sz w:val="28"/>
        </w:rPr>
      </w:pPr>
    </w:p>
    <w:p w14:paraId="65000000">
      <w:pPr>
        <w:widowControl w:val="1"/>
        <w:ind w:firstLine="709"/>
        <w:jc w:val="both"/>
        <w:rPr>
          <w:sz w:val="28"/>
        </w:rPr>
      </w:pPr>
      <w:r>
        <w:rPr>
          <w:sz w:val="28"/>
        </w:rPr>
        <w:t xml:space="preserve">3. Продолжается оптимизация бюджетной сети за счет ликвидации или преобразования учреждений, не оказывающих услуги, непосредственно направленные на реализацию полномочий </w:t>
      </w:r>
      <w:r>
        <w:rPr>
          <w:sz w:val="28"/>
        </w:rPr>
        <w:t xml:space="preserve">органов местного самоуправления </w:t>
      </w:r>
      <w:r>
        <w:rPr>
          <w:sz w:val="28"/>
        </w:rPr>
        <w:t>Крапивинского муниципального округа</w:t>
      </w:r>
      <w:r>
        <w:rPr>
          <w:sz w:val="28"/>
        </w:rPr>
        <w:t xml:space="preserve"> , а также оказывающих услуги, не соответствующие профилю органа, осуществляющего функции и полномочия учредителя, в организации иной организационно-правовой формы. </w:t>
      </w:r>
    </w:p>
    <w:p w14:paraId="66000000">
      <w:pPr>
        <w:widowControl w:val="1"/>
        <w:ind w:firstLine="709"/>
        <w:jc w:val="both"/>
        <w:rPr>
          <w:sz w:val="28"/>
        </w:rPr>
      </w:pPr>
      <w:r>
        <w:rPr>
          <w:sz w:val="28"/>
        </w:rPr>
        <w:t>В 2022</w:t>
      </w:r>
      <w:r>
        <w:rPr>
          <w:sz w:val="28"/>
        </w:rPr>
        <w:t>–</w:t>
      </w:r>
      <w:r>
        <w:rPr>
          <w:sz w:val="28"/>
        </w:rPr>
        <w:t>202</w:t>
      </w:r>
      <w:r>
        <w:rPr>
          <w:sz w:val="28"/>
        </w:rPr>
        <w:t>4</w:t>
      </w:r>
      <w:r>
        <w:rPr>
          <w:sz w:val="28"/>
        </w:rPr>
        <w:t xml:space="preserve"> годах осуществлялись мероприятия по реорганизации бюджетной сети </w:t>
      </w:r>
      <w:bookmarkStart w:id="2" w:name="_Hlk152767263"/>
      <w:r>
        <w:rPr>
          <w:sz w:val="28"/>
        </w:rPr>
        <w:t>муниципальных</w:t>
      </w:r>
      <w:r>
        <w:rPr>
          <w:sz w:val="28"/>
        </w:rPr>
        <w:t xml:space="preserve"> </w:t>
      </w:r>
      <w:bookmarkEnd w:id="2"/>
      <w:r>
        <w:rPr>
          <w:sz w:val="28"/>
        </w:rPr>
        <w:t>учреждений</w:t>
      </w:r>
      <w:r>
        <w:rPr>
          <w:sz w:val="28"/>
        </w:rPr>
        <w:t xml:space="preserve"> и планы на 2025 год:</w:t>
      </w:r>
    </w:p>
    <w:p w14:paraId="67000000">
      <w:pPr>
        <w:widowControl w:val="1"/>
        <w:ind w:firstLine="709"/>
        <w:jc w:val="both"/>
        <w:rPr>
          <w:sz w:val="28"/>
        </w:rPr>
      </w:pPr>
      <w:r>
        <w:rPr>
          <w:sz w:val="28"/>
        </w:rPr>
        <w:t>В сфере муниципального управления</w:t>
      </w:r>
      <w:r>
        <w:rPr>
          <w:sz w:val="28"/>
        </w:rPr>
        <w:t xml:space="preserve"> проведены </w:t>
      </w:r>
      <w:r>
        <w:rPr>
          <w:sz w:val="28"/>
        </w:rPr>
        <w:t xml:space="preserve">следующие </w:t>
      </w:r>
      <w:r>
        <w:rPr>
          <w:sz w:val="28"/>
        </w:rPr>
        <w:t xml:space="preserve">мероприятия по </w:t>
      </w:r>
      <w:r>
        <w:rPr>
          <w:sz w:val="28"/>
        </w:rPr>
        <w:t>изменению</w:t>
      </w:r>
      <w:r>
        <w:rPr>
          <w:sz w:val="28"/>
        </w:rPr>
        <w:t xml:space="preserve"> сети:</w:t>
      </w:r>
    </w:p>
    <w:p w14:paraId="68000000">
      <w:pPr>
        <w:widowControl w:val="1"/>
        <w:ind w:firstLine="709"/>
        <w:jc w:val="both"/>
        <w:rPr>
          <w:sz w:val="28"/>
        </w:rPr>
      </w:pPr>
      <w:r>
        <w:rPr>
          <w:sz w:val="28"/>
        </w:rPr>
        <w:t>1</w:t>
      </w:r>
      <w:r>
        <w:rPr>
          <w:sz w:val="28"/>
        </w:rPr>
        <w:t>) в 2022 году по согласованию с Министерством образования Кузбасса для исполнения переданных государственных полномочий введена 1 ставка специалиста в органы опеки и попечит</w:t>
      </w:r>
      <w:r>
        <w:rPr>
          <w:sz w:val="28"/>
        </w:rPr>
        <w:t>ельства;</w:t>
      </w:r>
      <w:r>
        <w:rPr>
          <w:sz w:val="28"/>
        </w:rPr>
        <w:t xml:space="preserve"> </w:t>
      </w:r>
    </w:p>
    <w:p w14:paraId="69000000">
      <w:pPr>
        <w:widowControl w:val="1"/>
        <w:ind w:firstLine="709"/>
        <w:jc w:val="both"/>
        <w:rPr>
          <w:sz w:val="28"/>
        </w:rPr>
      </w:pPr>
      <w:r>
        <w:rPr>
          <w:sz w:val="28"/>
        </w:rPr>
        <w:t>2</w:t>
      </w:r>
      <w:r>
        <w:rPr>
          <w:sz w:val="28"/>
        </w:rPr>
        <w:t>)</w:t>
      </w:r>
      <w:r>
        <w:rPr>
          <w:sz w:val="28"/>
        </w:rPr>
        <w:t xml:space="preserve"> </w:t>
      </w:r>
      <w:r>
        <w:rPr>
          <w:sz w:val="28"/>
        </w:rPr>
        <w:t xml:space="preserve">в январе 2022 года </w:t>
      </w:r>
      <w:r>
        <w:rPr>
          <w:sz w:val="28"/>
        </w:rPr>
        <w:t>с</w:t>
      </w:r>
      <w:r>
        <w:rPr>
          <w:sz w:val="28"/>
        </w:rPr>
        <w:t>оздан контрольно-счетный орган со штатной численностью 1 единица</w:t>
      </w:r>
      <w:r>
        <w:rPr>
          <w:sz w:val="28"/>
        </w:rPr>
        <w:t>, за счет выведения штатной численности из Совета народных депутатов Крапивинского муниципального округа</w:t>
      </w:r>
      <w:r>
        <w:rPr>
          <w:sz w:val="28"/>
        </w:rPr>
        <w:t>;</w:t>
      </w:r>
    </w:p>
    <w:p w14:paraId="6A000000">
      <w:pPr>
        <w:widowControl w:val="1"/>
        <w:ind w:firstLine="709"/>
        <w:jc w:val="both"/>
        <w:rPr>
          <w:sz w:val="28"/>
        </w:rPr>
      </w:pPr>
      <w:r>
        <w:rPr>
          <w:sz w:val="28"/>
        </w:rPr>
        <w:t>3</w:t>
      </w:r>
      <w:r>
        <w:rPr>
          <w:sz w:val="28"/>
        </w:rPr>
        <w:t xml:space="preserve">) </w:t>
      </w:r>
      <w:r>
        <w:rPr>
          <w:sz w:val="28"/>
        </w:rPr>
        <w:t xml:space="preserve">в </w:t>
      </w:r>
      <w:r>
        <w:rPr>
          <w:sz w:val="28"/>
        </w:rPr>
        <w:t xml:space="preserve">сентябре </w:t>
      </w:r>
      <w:r>
        <w:rPr>
          <w:sz w:val="28"/>
        </w:rPr>
        <w:t>2023 год</w:t>
      </w:r>
      <w:r>
        <w:rPr>
          <w:sz w:val="28"/>
        </w:rPr>
        <w:t>а</w:t>
      </w:r>
      <w:r>
        <w:rPr>
          <w:sz w:val="28"/>
        </w:rPr>
        <w:t xml:space="preserve"> при Управлении социальной защиты населения администрации Крапивинского муниципального округа создан </w:t>
      </w:r>
      <w:r>
        <w:rPr>
          <w:sz w:val="28"/>
        </w:rPr>
        <w:t>Территориальный координационный центр</w:t>
      </w:r>
      <w:r>
        <w:rPr>
          <w:sz w:val="28"/>
        </w:rPr>
        <w:t xml:space="preserve"> со штатной численностью 4 единицы, за счет проведения оптимизационных мероприятий в подведомственных учреждениях</w:t>
      </w:r>
      <w:r>
        <w:rPr>
          <w:sz w:val="28"/>
        </w:rPr>
        <w:t>;</w:t>
      </w:r>
    </w:p>
    <w:p w14:paraId="6B000000">
      <w:pPr>
        <w:widowControl w:val="1"/>
        <w:ind w:firstLine="709"/>
        <w:jc w:val="both"/>
        <w:rPr>
          <w:sz w:val="28"/>
        </w:rPr>
      </w:pPr>
      <w:r>
        <w:rPr>
          <w:sz w:val="28"/>
        </w:rPr>
        <w:t xml:space="preserve">4) </w:t>
      </w:r>
      <w:r>
        <w:rPr>
          <w:sz w:val="28"/>
        </w:rPr>
        <w:t>с 1 ноября 2024 года в органах муниципальной власти сокращены 4 вакантные ставки;</w:t>
      </w:r>
    </w:p>
    <w:p w14:paraId="6C000000">
      <w:pPr>
        <w:widowControl w:val="1"/>
        <w:ind w:firstLine="709"/>
        <w:jc w:val="both"/>
        <w:rPr>
          <w:sz w:val="28"/>
        </w:rPr>
      </w:pPr>
      <w:r>
        <w:rPr>
          <w:sz w:val="28"/>
        </w:rPr>
        <w:t xml:space="preserve">5) </w:t>
      </w:r>
      <w:r>
        <w:rPr>
          <w:sz w:val="28"/>
        </w:rPr>
        <w:t>с 1 января 2025 года 6</w:t>
      </w:r>
      <w:r>
        <w:rPr>
          <w:sz w:val="28"/>
        </w:rPr>
        <w:t xml:space="preserve"> ставок</w:t>
      </w:r>
      <w:r>
        <w:rPr>
          <w:sz w:val="28"/>
        </w:rPr>
        <w:t xml:space="preserve"> муниципальных </w:t>
      </w:r>
      <w:r>
        <w:rPr>
          <w:sz w:val="28"/>
        </w:rPr>
        <w:t>должностей</w:t>
      </w:r>
      <w:r>
        <w:rPr>
          <w:sz w:val="28"/>
        </w:rPr>
        <w:t xml:space="preserve"> выведены в категорию </w:t>
      </w:r>
      <w:r>
        <w:rPr>
          <w:sz w:val="28"/>
        </w:rPr>
        <w:t xml:space="preserve">работников не замещающих должности муниципальной службы. </w:t>
      </w:r>
    </w:p>
    <w:p w14:paraId="6D000000">
      <w:pPr>
        <w:widowControl w:val="1"/>
        <w:ind w:firstLine="709"/>
        <w:jc w:val="both"/>
        <w:rPr>
          <w:sz w:val="28"/>
        </w:rPr>
      </w:pPr>
    </w:p>
    <w:p w14:paraId="6E000000">
      <w:pPr>
        <w:widowControl w:val="1"/>
        <w:ind w:firstLine="709"/>
        <w:jc w:val="both"/>
        <w:rPr>
          <w:sz w:val="28"/>
          <w:highlight w:val="white"/>
        </w:rPr>
      </w:pPr>
      <w:r>
        <w:rPr>
          <w:sz w:val="28"/>
        </w:rPr>
        <w:t>В сфере</w:t>
      </w:r>
      <w:r>
        <w:rPr>
          <w:sz w:val="28"/>
          <w:highlight w:val="white"/>
        </w:rPr>
        <w:t xml:space="preserve"> образования проведены следующие мероприятия по оптимизации сети муниципальных образовательных организаций</w:t>
      </w:r>
      <w:r>
        <w:rPr>
          <w:sz w:val="28"/>
          <w:highlight w:val="white"/>
        </w:rPr>
        <w:t>:</w:t>
      </w:r>
    </w:p>
    <w:p w14:paraId="6F000000">
      <w:pPr>
        <w:pStyle w:val="Style_5"/>
        <w:widowControl w:val="1"/>
        <w:numPr>
          <w:ilvl w:val="0"/>
          <w:numId w:val="1"/>
        </w:numPr>
        <w:tabs>
          <w:tab w:leader="none" w:pos="567" w:val="left"/>
        </w:tabs>
        <w:ind w:firstLine="709" w:left="0"/>
        <w:jc w:val="both"/>
        <w:rPr>
          <w:rFonts w:ascii="Times New Roman" w:hAnsi="Times New Roman"/>
          <w:sz w:val="28"/>
        </w:rPr>
      </w:pPr>
      <w:r>
        <w:rPr>
          <w:rFonts w:ascii="Times New Roman" w:hAnsi="Times New Roman"/>
          <w:sz w:val="28"/>
        </w:rPr>
        <w:t xml:space="preserve">в 2022 году </w:t>
      </w:r>
      <w:r>
        <w:rPr>
          <w:rFonts w:ascii="Times New Roman" w:hAnsi="Times New Roman"/>
          <w:sz w:val="28"/>
        </w:rPr>
        <w:t xml:space="preserve">закрылся филиал МБДОУ «Зеленогорский детский сад №6 «Улыбка» (по адресу пгт. Зеленогорский, ул.Центральная, 27) в связи с низкой наполняемостью дошкольного учреждения, с последующим укрупнением числа воспитанников в двух других филиалах учреждения. Сокращено 14,9 штатных единиц, из них 4,5 штатных единицы педагогический персонал. </w:t>
      </w:r>
      <w:r>
        <w:rPr>
          <w:rFonts w:ascii="Times New Roman" w:hAnsi="Times New Roman"/>
          <w:sz w:val="28"/>
        </w:rPr>
        <w:t xml:space="preserve">Кроме того, </w:t>
      </w:r>
      <w:r>
        <w:rPr>
          <w:rFonts w:ascii="Times New Roman" w:hAnsi="Times New Roman"/>
          <w:sz w:val="28"/>
        </w:rPr>
        <w:t>сокращена 1 группа в филиале МБДОУ «Крапивинский детский сад «Светлячок» по адресу п.Каменный, ул.Мира,1 со штатной численность  7,2 единицы, из них 1,6 педагогический персонал</w:t>
      </w:r>
      <w:r>
        <w:rPr>
          <w:rFonts w:ascii="Times New Roman" w:hAnsi="Times New Roman"/>
          <w:sz w:val="28"/>
        </w:rPr>
        <w:t>;</w:t>
      </w:r>
      <w:r>
        <w:rPr>
          <w:rFonts w:ascii="Times New Roman" w:hAnsi="Times New Roman"/>
          <w:sz w:val="28"/>
        </w:rPr>
        <w:t xml:space="preserve"> </w:t>
      </w:r>
    </w:p>
    <w:p w14:paraId="70000000">
      <w:pPr>
        <w:widowControl w:val="1"/>
        <w:numPr>
          <w:ilvl w:val="0"/>
          <w:numId w:val="1"/>
        </w:numPr>
        <w:ind w:firstLine="709" w:left="0"/>
        <w:jc w:val="both"/>
        <w:rPr>
          <w:sz w:val="28"/>
        </w:rPr>
      </w:pPr>
      <w:r>
        <w:rPr>
          <w:sz w:val="28"/>
        </w:rPr>
        <w:t>в 2023 году в связи с отсутствием контингента в</w:t>
      </w:r>
      <w:r>
        <w:rPr>
          <w:sz w:val="28"/>
        </w:rPr>
        <w:t xml:space="preserve">  Крапивинском МБДОУ «Солнышко», расположенного по адресу ул. Энергетиков, 59, закрыта </w:t>
      </w:r>
      <w:r>
        <w:rPr>
          <w:sz w:val="28"/>
        </w:rPr>
        <w:t xml:space="preserve"> </w:t>
      </w:r>
      <w:r>
        <w:rPr>
          <w:sz w:val="28"/>
        </w:rPr>
        <w:t>дошкольная группа и сокращено 8,25 штатных единиц</w:t>
      </w:r>
      <w:r>
        <w:rPr>
          <w:sz w:val="28"/>
        </w:rPr>
        <w:t>,</w:t>
      </w:r>
      <w:r>
        <w:rPr>
          <w:sz w:val="28"/>
        </w:rPr>
        <w:t xml:space="preserve"> </w:t>
      </w:r>
      <w:r>
        <w:rPr>
          <w:sz w:val="28"/>
        </w:rPr>
        <w:t xml:space="preserve">из них </w:t>
      </w:r>
      <w:r>
        <w:rPr>
          <w:sz w:val="28"/>
        </w:rPr>
        <w:t>2,25 педагогический персонал</w:t>
      </w:r>
      <w:r>
        <w:rPr>
          <w:sz w:val="28"/>
        </w:rPr>
        <w:t>;</w:t>
      </w:r>
    </w:p>
    <w:p w14:paraId="71000000">
      <w:pPr>
        <w:widowControl w:val="1"/>
        <w:numPr>
          <w:ilvl w:val="0"/>
          <w:numId w:val="1"/>
        </w:numPr>
        <w:ind w:firstLine="709" w:left="0"/>
        <w:jc w:val="both"/>
        <w:rPr>
          <w:sz w:val="28"/>
        </w:rPr>
      </w:pPr>
      <w:r>
        <w:rPr>
          <w:sz w:val="28"/>
        </w:rPr>
        <w:t xml:space="preserve"> </w:t>
      </w:r>
      <w:r>
        <w:rPr>
          <w:sz w:val="28"/>
        </w:rPr>
        <w:t>с 1 января 202</w:t>
      </w:r>
      <w:r>
        <w:rPr>
          <w:sz w:val="28"/>
        </w:rPr>
        <w:t>5</w:t>
      </w:r>
      <w:r>
        <w:rPr>
          <w:sz w:val="28"/>
        </w:rPr>
        <w:t xml:space="preserve"> года</w:t>
      </w:r>
      <w:r>
        <w:rPr>
          <w:sz w:val="28"/>
        </w:rPr>
        <w:t xml:space="preserve"> сокращены 27,8 ставок в дошкольных образовательных учреждениях округа; </w:t>
      </w:r>
      <w:r>
        <w:rPr>
          <w:sz w:val="28"/>
        </w:rPr>
        <w:t xml:space="preserve">в </w:t>
      </w:r>
      <w:r>
        <w:rPr>
          <w:sz w:val="28"/>
        </w:rPr>
        <w:t>МБУ</w:t>
      </w:r>
      <w:r>
        <w:rPr>
          <w:sz w:val="28"/>
        </w:rPr>
        <w:t>ДО</w:t>
      </w:r>
      <w:r>
        <w:rPr>
          <w:sz w:val="28"/>
        </w:rPr>
        <w:t xml:space="preserve"> Крапивинский </w:t>
      </w:r>
      <w:r>
        <w:rPr>
          <w:sz w:val="28"/>
        </w:rPr>
        <w:t>ДДТ</w:t>
      </w:r>
      <w:r>
        <w:rPr>
          <w:sz w:val="28"/>
        </w:rPr>
        <w:t xml:space="preserve"> 6,2 ставки; в </w:t>
      </w:r>
      <w:r>
        <w:rPr>
          <w:sz w:val="28"/>
        </w:rPr>
        <w:t>МБУДО</w:t>
      </w:r>
      <w:r>
        <w:rPr>
          <w:sz w:val="28"/>
        </w:rPr>
        <w:t xml:space="preserve"> «Спортивная школа Крапивинского муниципального округа» 3 ставки, в </w:t>
      </w:r>
      <w:r>
        <w:rPr>
          <w:sz w:val="28"/>
        </w:rPr>
        <w:t>МБУДО</w:t>
      </w:r>
      <w:r>
        <w:rPr>
          <w:sz w:val="28"/>
        </w:rPr>
        <w:t xml:space="preserve"> Крапивинского муниципального округа «Детская школа искусств» 1 ставка. Кроме того, </w:t>
      </w:r>
      <w:r>
        <w:rPr>
          <w:sz w:val="28"/>
        </w:rPr>
        <w:t xml:space="preserve">реорганизована путем </w:t>
      </w:r>
      <w:r>
        <w:rPr>
          <w:sz w:val="28"/>
        </w:rPr>
        <w:t>присоединени</w:t>
      </w:r>
      <w:r>
        <w:rPr>
          <w:sz w:val="28"/>
        </w:rPr>
        <w:t>я</w:t>
      </w:r>
      <w:r>
        <w:rPr>
          <w:sz w:val="28"/>
        </w:rPr>
        <w:t xml:space="preserve"> МБОУ «Красноключинская основная общеобразовательная школа» к МБОУ «Барачатская основная общеобразовательная школа».</w:t>
      </w:r>
    </w:p>
    <w:p w14:paraId="72000000">
      <w:pPr>
        <w:widowControl w:val="1"/>
        <w:ind w:firstLine="709"/>
        <w:jc w:val="both"/>
        <w:rPr>
          <w:sz w:val="28"/>
          <w:highlight w:val="white"/>
        </w:rPr>
      </w:pPr>
      <w:r>
        <w:rPr>
          <w:sz w:val="28"/>
        </w:rPr>
        <w:t>В сфере</w:t>
      </w:r>
      <w:r>
        <w:rPr>
          <w:sz w:val="28"/>
          <w:highlight w:val="white"/>
        </w:rPr>
        <w:t xml:space="preserve"> </w:t>
      </w:r>
      <w:r>
        <w:rPr>
          <w:sz w:val="28"/>
          <w:highlight w:val="white"/>
        </w:rPr>
        <w:t xml:space="preserve">культуры </w:t>
      </w:r>
      <w:r>
        <w:rPr>
          <w:sz w:val="28"/>
          <w:highlight w:val="white"/>
        </w:rPr>
        <w:t xml:space="preserve">проведены следующие мероприятия по оптимизации сети муниципальных </w:t>
      </w:r>
      <w:r>
        <w:rPr>
          <w:sz w:val="28"/>
          <w:highlight w:val="white"/>
        </w:rPr>
        <w:t>учреждений</w:t>
      </w:r>
      <w:r>
        <w:rPr>
          <w:sz w:val="28"/>
          <w:highlight w:val="white"/>
        </w:rPr>
        <w:t>:</w:t>
      </w:r>
    </w:p>
    <w:p w14:paraId="73000000">
      <w:pPr>
        <w:widowControl w:val="1"/>
        <w:numPr>
          <w:ilvl w:val="0"/>
          <w:numId w:val="2"/>
        </w:numPr>
        <w:ind w:firstLine="567" w:left="0"/>
        <w:jc w:val="both"/>
        <w:rPr>
          <w:sz w:val="28"/>
        </w:rPr>
      </w:pPr>
      <w:r>
        <w:rPr>
          <w:sz w:val="28"/>
        </w:rPr>
        <w:t xml:space="preserve">в начале </w:t>
      </w:r>
      <w:r>
        <w:rPr>
          <w:sz w:val="28"/>
        </w:rPr>
        <w:t>2025 год</w:t>
      </w:r>
      <w:r>
        <w:rPr>
          <w:sz w:val="28"/>
        </w:rPr>
        <w:t>а</w:t>
      </w:r>
      <w:r>
        <w:rPr>
          <w:sz w:val="28"/>
        </w:rPr>
        <w:t xml:space="preserve"> сокращены </w:t>
      </w:r>
      <w:r>
        <w:rPr>
          <w:sz w:val="28"/>
        </w:rPr>
        <w:t>9,5 ставок</w:t>
      </w:r>
      <w:r>
        <w:rPr>
          <w:sz w:val="28"/>
        </w:rPr>
        <w:t>.</w:t>
      </w:r>
    </w:p>
    <w:p w14:paraId="74000000">
      <w:pPr>
        <w:widowControl w:val="1"/>
        <w:ind w:firstLine="709"/>
        <w:jc w:val="both"/>
        <w:rPr>
          <w:sz w:val="28"/>
          <w:highlight w:val="white"/>
        </w:rPr>
      </w:pPr>
    </w:p>
    <w:p w14:paraId="75000000">
      <w:pPr>
        <w:widowControl w:val="1"/>
        <w:ind w:firstLine="709"/>
        <w:jc w:val="both"/>
        <w:rPr>
          <w:sz w:val="28"/>
        </w:rPr>
      </w:pPr>
      <w:r>
        <w:rPr>
          <w:sz w:val="28"/>
        </w:rPr>
        <w:t>В сфере социальной защиты населения проведены мероприятия по оптимизации сети учреждений:</w:t>
      </w:r>
    </w:p>
    <w:p w14:paraId="76000000">
      <w:pPr>
        <w:widowControl w:val="1"/>
        <w:ind w:firstLine="709"/>
        <w:jc w:val="both"/>
        <w:rPr>
          <w:sz w:val="28"/>
        </w:rPr>
      </w:pPr>
      <w:r>
        <w:rPr>
          <w:sz w:val="28"/>
        </w:rPr>
        <w:t>1</w:t>
      </w:r>
      <w:r>
        <w:rPr>
          <w:sz w:val="28"/>
        </w:rPr>
        <w:t xml:space="preserve">) </w:t>
      </w:r>
      <w:r>
        <w:rPr>
          <w:sz w:val="28"/>
        </w:rPr>
        <w:t>с 1 января 202</w:t>
      </w:r>
      <w:r>
        <w:rPr>
          <w:sz w:val="28"/>
        </w:rPr>
        <w:t>5</w:t>
      </w:r>
      <w:r>
        <w:rPr>
          <w:sz w:val="28"/>
        </w:rPr>
        <w:t xml:space="preserve"> года в </w:t>
      </w:r>
      <w:r>
        <w:rPr>
          <w:sz w:val="28"/>
        </w:rPr>
        <w:t xml:space="preserve">муниципальном бюджетном учреждение «Комплексный центр социального обслуживания населения» сокращено 12 вакантных штатных единиц. </w:t>
      </w:r>
    </w:p>
    <w:p w14:paraId="77000000">
      <w:pPr>
        <w:widowControl w:val="1"/>
        <w:ind w:firstLine="709"/>
        <w:jc w:val="both"/>
        <w:rPr>
          <w:sz w:val="28"/>
        </w:rPr>
      </w:pPr>
      <w:r>
        <w:rPr>
          <w:color w:val="000000"/>
          <w:sz w:val="28"/>
        </w:rPr>
        <w:t>2) со 2 полугодия 2025 года планируется передача</w:t>
      </w:r>
      <w:r>
        <w:rPr>
          <w:color w:val="000000"/>
          <w:sz w:val="28"/>
        </w:rPr>
        <w:t xml:space="preserve"> МКУ «Социально-реабилитационный Центр для несовершеннолетних» Крапивинского муниципального округа со штатной численностью 68,0 единиц в государственную собственность Кемеровской области.</w:t>
      </w:r>
    </w:p>
    <w:p w14:paraId="78000000">
      <w:pPr>
        <w:widowControl w:val="1"/>
        <w:ind w:firstLine="709"/>
        <w:contextualSpacing w:val="1"/>
        <w:jc w:val="both"/>
        <w:rPr>
          <w:sz w:val="28"/>
        </w:rPr>
      </w:pPr>
    </w:p>
    <w:p w14:paraId="79000000">
      <w:pPr>
        <w:widowControl w:val="1"/>
        <w:ind w:firstLine="709"/>
        <w:contextualSpacing w:val="1"/>
        <w:jc w:val="both"/>
        <w:rPr>
          <w:sz w:val="28"/>
        </w:rPr>
      </w:pPr>
      <w:r>
        <w:rPr>
          <w:sz w:val="28"/>
        </w:rPr>
        <w:t>4</w:t>
      </w:r>
      <w:r>
        <w:rPr>
          <w:sz w:val="28"/>
        </w:rPr>
        <w:t>. Инвентаризация социальных выплат и льгот, установленных региональными нормативными правовыми актами, и их пересмотр с учетом принципов адресности и нуждаемости.</w:t>
      </w:r>
    </w:p>
    <w:p w14:paraId="7A000000">
      <w:pPr>
        <w:widowControl w:val="1"/>
        <w:ind w:firstLine="709"/>
        <w:contextualSpacing w:val="1"/>
        <w:jc w:val="both"/>
        <w:rPr>
          <w:sz w:val="28"/>
        </w:rPr>
      </w:pPr>
      <w:r>
        <w:rPr>
          <w:sz w:val="28"/>
        </w:rPr>
        <w:t xml:space="preserve">В сфере социальной защиты населения </w:t>
      </w:r>
      <w:r>
        <w:rPr>
          <w:sz w:val="28"/>
        </w:rPr>
        <w:t xml:space="preserve">и образования </w:t>
      </w:r>
      <w:r>
        <w:rPr>
          <w:sz w:val="28"/>
        </w:rPr>
        <w:t xml:space="preserve">инвентаризация социальных выплат и льгот проводится на постоянной основе. </w:t>
      </w:r>
    </w:p>
    <w:p w14:paraId="7B000000">
      <w:pPr>
        <w:widowControl w:val="1"/>
        <w:ind w:firstLine="709"/>
        <w:contextualSpacing w:val="1"/>
        <w:jc w:val="both"/>
        <w:rPr>
          <w:sz w:val="28"/>
        </w:rPr>
      </w:pPr>
      <w:r>
        <w:rPr>
          <w:sz w:val="28"/>
        </w:rPr>
        <w:t xml:space="preserve">Благодаря принятым мерам по оптимизации расходов </w:t>
      </w:r>
      <w:r>
        <w:rPr>
          <w:sz w:val="28"/>
        </w:rPr>
        <w:t>бюджета Крапивинского муниципального округа</w:t>
      </w:r>
      <w:r>
        <w:rPr>
          <w:sz w:val="28"/>
        </w:rPr>
        <w:t xml:space="preserve"> бюджетный эффект </w:t>
      </w:r>
      <w:r>
        <w:rPr>
          <w:sz w:val="28"/>
        </w:rPr>
        <w:t xml:space="preserve">за период </w:t>
      </w:r>
      <w:r>
        <w:rPr>
          <w:sz w:val="28"/>
        </w:rPr>
        <w:t>с 20</w:t>
      </w:r>
      <w:r>
        <w:rPr>
          <w:sz w:val="28"/>
        </w:rPr>
        <w:t>2</w:t>
      </w:r>
      <w:r>
        <w:rPr>
          <w:sz w:val="28"/>
        </w:rPr>
        <w:t>2</w:t>
      </w:r>
      <w:r>
        <w:rPr>
          <w:sz w:val="28"/>
        </w:rPr>
        <w:t xml:space="preserve"> года по 202</w:t>
      </w:r>
      <w:r>
        <w:rPr>
          <w:sz w:val="28"/>
        </w:rPr>
        <w:t>4</w:t>
      </w:r>
      <w:r>
        <w:rPr>
          <w:sz w:val="28"/>
        </w:rPr>
        <w:t xml:space="preserve"> год </w:t>
      </w:r>
      <w:r>
        <w:rPr>
          <w:sz w:val="28"/>
        </w:rPr>
        <w:t xml:space="preserve">составил </w:t>
      </w:r>
      <w:r>
        <w:rPr>
          <w:sz w:val="28"/>
        </w:rPr>
        <w:t>около 18000,0</w:t>
      </w:r>
      <w:r>
        <w:rPr>
          <w:sz w:val="28"/>
        </w:rPr>
        <w:t xml:space="preserve"> </w:t>
      </w:r>
      <w:r>
        <w:rPr>
          <w:sz w:val="28"/>
        </w:rPr>
        <w:t>тыс.</w:t>
      </w:r>
      <w:r>
        <w:rPr>
          <w:sz w:val="28"/>
        </w:rPr>
        <w:t xml:space="preserve"> рублей.</w:t>
      </w:r>
      <w:r>
        <w:rPr>
          <w:sz w:val="28"/>
        </w:rPr>
        <w:t xml:space="preserve"> В 2025 году </w:t>
      </w:r>
      <w:r>
        <w:rPr>
          <w:sz w:val="28"/>
        </w:rPr>
        <w:t xml:space="preserve">планируется получить </w:t>
      </w:r>
      <w:r>
        <w:rPr>
          <w:sz w:val="28"/>
        </w:rPr>
        <w:t xml:space="preserve">бюджетный эффект </w:t>
      </w:r>
      <w:r>
        <w:rPr>
          <w:sz w:val="28"/>
        </w:rPr>
        <w:t xml:space="preserve">в сумме </w:t>
      </w:r>
      <w:r>
        <w:rPr>
          <w:sz w:val="28"/>
        </w:rPr>
        <w:t>2</w:t>
      </w:r>
      <w:r>
        <w:rPr>
          <w:sz w:val="28"/>
        </w:rPr>
        <w:t>6050</w:t>
      </w:r>
      <w:r>
        <w:rPr>
          <w:sz w:val="28"/>
        </w:rPr>
        <w:t>,0 тыс. рублей.</w:t>
      </w:r>
    </w:p>
    <w:p w14:paraId="7C000000">
      <w:pPr>
        <w:widowControl w:val="0"/>
        <w:ind/>
        <w:jc w:val="center"/>
        <w:rPr>
          <w:sz w:val="28"/>
        </w:rPr>
      </w:pPr>
    </w:p>
    <w:p w14:paraId="7D000000">
      <w:pPr>
        <w:widowControl w:val="0"/>
        <w:ind/>
        <w:jc w:val="center"/>
        <w:rPr>
          <w:b w:val="1"/>
          <w:i w:val="1"/>
          <w:sz w:val="28"/>
        </w:rPr>
      </w:pPr>
      <w:r>
        <w:rPr>
          <w:b w:val="1"/>
          <w:i w:val="1"/>
          <w:sz w:val="28"/>
        </w:rPr>
        <w:t xml:space="preserve">Обеспечение мер по поддержанию объема </w:t>
      </w:r>
      <w:r>
        <w:rPr>
          <w:b w:val="1"/>
          <w:i w:val="1"/>
          <w:sz w:val="28"/>
        </w:rPr>
        <w:t>муниципального</w:t>
      </w:r>
      <w:r>
        <w:rPr>
          <w:b w:val="1"/>
          <w:i w:val="1"/>
          <w:sz w:val="28"/>
        </w:rPr>
        <w:t xml:space="preserve"> долга </w:t>
      </w:r>
      <w:r>
        <w:rPr>
          <w:b w:val="1"/>
          <w:i w:val="1"/>
          <w:sz w:val="28"/>
        </w:rPr>
        <w:t>Крапивинского муниципального округа</w:t>
      </w:r>
      <w:r>
        <w:rPr>
          <w:b w:val="1"/>
          <w:i w:val="1"/>
          <w:sz w:val="28"/>
        </w:rPr>
        <w:t xml:space="preserve"> на оптимальном уровне, минимизация стоимости его обслуживания</w:t>
      </w:r>
    </w:p>
    <w:p w14:paraId="7E000000">
      <w:pPr>
        <w:widowControl w:val="0"/>
        <w:ind/>
        <w:jc w:val="center"/>
        <w:rPr>
          <w:sz w:val="28"/>
        </w:rPr>
      </w:pPr>
    </w:p>
    <w:p w14:paraId="7F000000">
      <w:pPr>
        <w:widowControl w:val="0"/>
        <w:ind w:firstLine="709"/>
        <w:jc w:val="both"/>
        <w:rPr>
          <w:sz w:val="28"/>
        </w:rPr>
      </w:pPr>
      <w:r>
        <w:rPr>
          <w:color w:val="000000"/>
          <w:sz w:val="28"/>
        </w:rPr>
        <w:t>Долговая политика Крапивинского  муниципального округа выстраива</w:t>
      </w:r>
      <w:r>
        <w:rPr>
          <w:color w:val="000000"/>
          <w:sz w:val="28"/>
        </w:rPr>
        <w:t>е</w:t>
      </w:r>
      <w:r>
        <w:rPr>
          <w:color w:val="000000"/>
          <w:sz w:val="28"/>
        </w:rPr>
        <w:t>тся из принципа финансовой устойчивости бюджета к возможным негативным последствиям,</w:t>
      </w:r>
      <w:r>
        <w:rPr>
          <w:sz w:val="28"/>
        </w:rPr>
        <w:t xml:space="preserve"> безусловного исполнения и обслуживания принятых долговых обязательств, сбалансированности доходов и расходов бюджета, а также поддержания объема муниципального долга на экономически безопасном уровне. </w:t>
      </w:r>
    </w:p>
    <w:p w14:paraId="80000000">
      <w:pPr>
        <w:widowControl w:val="0"/>
        <w:ind w:firstLine="709"/>
        <w:jc w:val="both"/>
        <w:rPr>
          <w:sz w:val="28"/>
        </w:rPr>
      </w:pPr>
      <w:r>
        <w:rPr>
          <w:sz w:val="28"/>
        </w:rPr>
        <w:t>С 2019 года по настоящее время в бюджет Крапивинского муниципального округа заемные средства не привлекались.</w:t>
      </w:r>
    </w:p>
    <w:p w14:paraId="81000000">
      <w:pPr>
        <w:widowControl w:val="0"/>
        <w:ind w:firstLine="540"/>
        <w:jc w:val="center"/>
        <w:rPr>
          <w:sz w:val="28"/>
        </w:rPr>
      </w:pPr>
    </w:p>
    <w:p w14:paraId="82000000">
      <w:pPr>
        <w:pStyle w:val="Style_5"/>
        <w:widowControl w:val="1"/>
        <w:spacing w:line="264" w:lineRule="auto"/>
        <w:ind/>
        <w:jc w:val="center"/>
        <w:rPr>
          <w:rFonts w:ascii="Times New Roman" w:hAnsi="Times New Roman"/>
          <w:b w:val="1"/>
          <w:sz w:val="28"/>
        </w:rPr>
      </w:pPr>
      <w:r>
        <w:rPr>
          <w:rFonts w:ascii="Times New Roman" w:hAnsi="Times New Roman"/>
          <w:b w:val="1"/>
          <w:sz w:val="28"/>
        </w:rPr>
        <w:t>4</w:t>
      </w:r>
      <w:r>
        <w:rPr>
          <w:rFonts w:ascii="Times New Roman" w:hAnsi="Times New Roman"/>
          <w:b w:val="1"/>
          <w:sz w:val="28"/>
        </w:rPr>
        <w:t>. Основные направления реализации Программы</w:t>
      </w:r>
    </w:p>
    <w:p w14:paraId="83000000">
      <w:pPr>
        <w:pStyle w:val="Style_5"/>
        <w:widowControl w:val="1"/>
        <w:spacing w:line="264" w:lineRule="auto"/>
        <w:ind/>
        <w:jc w:val="center"/>
        <w:rPr>
          <w:rFonts w:ascii="Times New Roman" w:hAnsi="Times New Roman"/>
          <w:sz w:val="24"/>
        </w:rPr>
      </w:pPr>
    </w:p>
    <w:p w14:paraId="84000000">
      <w:pPr>
        <w:pStyle w:val="Style_5"/>
        <w:widowControl w:val="1"/>
        <w:ind w:firstLine="709"/>
        <w:jc w:val="both"/>
        <w:rPr>
          <w:rFonts w:ascii="Times New Roman" w:hAnsi="Times New Roman"/>
          <w:sz w:val="28"/>
        </w:rPr>
      </w:pPr>
      <w:r>
        <w:rPr>
          <w:rFonts w:ascii="Times New Roman" w:hAnsi="Times New Roman"/>
          <w:sz w:val="28"/>
        </w:rPr>
        <w:t>Основными направлениями реализации Программы являются:</w:t>
      </w:r>
    </w:p>
    <w:p w14:paraId="85000000">
      <w:pPr>
        <w:pStyle w:val="Style_5"/>
        <w:widowControl w:val="1"/>
        <w:ind w:firstLine="709"/>
        <w:jc w:val="both"/>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У</w:t>
      </w:r>
      <w:r>
        <w:rPr>
          <w:rFonts w:ascii="Times New Roman" w:hAnsi="Times New Roman"/>
          <w:sz w:val="28"/>
        </w:rPr>
        <w:t>величение роста налоговых и неналоговых доходов бюджет</w:t>
      </w:r>
      <w:r>
        <w:rPr>
          <w:rFonts w:ascii="Times New Roman" w:hAnsi="Times New Roman"/>
          <w:sz w:val="28"/>
        </w:rPr>
        <w:t>а</w:t>
      </w:r>
      <w:r>
        <w:rPr>
          <w:rFonts w:ascii="Times New Roman" w:hAnsi="Times New Roman"/>
          <w:sz w:val="28"/>
        </w:rPr>
        <w:t xml:space="preserve"> Крапивинского муниципального округа</w:t>
      </w:r>
      <w:r>
        <w:rPr>
          <w:rFonts w:ascii="Times New Roman" w:hAnsi="Times New Roman"/>
          <w:sz w:val="28"/>
        </w:rPr>
        <w:t>.</w:t>
      </w:r>
    </w:p>
    <w:p w14:paraId="86000000">
      <w:pPr>
        <w:pStyle w:val="Style_5"/>
        <w:widowControl w:val="1"/>
        <w:ind w:firstLine="709"/>
        <w:jc w:val="both"/>
        <w:rPr>
          <w:rFonts w:ascii="Times New Roman" w:hAnsi="Times New Roman"/>
          <w:sz w:val="28"/>
        </w:rPr>
      </w:pPr>
      <w:r>
        <w:rPr>
          <w:rFonts w:ascii="Times New Roman" w:hAnsi="Times New Roman"/>
          <w:sz w:val="28"/>
        </w:rPr>
        <w:t>2. О</w:t>
      </w:r>
      <w:r>
        <w:rPr>
          <w:rFonts w:ascii="Times New Roman" w:hAnsi="Times New Roman"/>
          <w:sz w:val="28"/>
        </w:rPr>
        <w:t>птимизация расходов бюджет</w:t>
      </w:r>
      <w:r>
        <w:rPr>
          <w:rFonts w:ascii="Times New Roman" w:hAnsi="Times New Roman"/>
          <w:sz w:val="28"/>
        </w:rPr>
        <w:t>а</w:t>
      </w:r>
      <w:r>
        <w:rPr>
          <w:rFonts w:ascii="Times New Roman" w:hAnsi="Times New Roman"/>
          <w:sz w:val="28"/>
        </w:rPr>
        <w:t xml:space="preserve"> Крапивинского муниципального округа</w:t>
      </w:r>
      <w:r>
        <w:rPr>
          <w:rFonts w:ascii="Times New Roman" w:hAnsi="Times New Roman"/>
          <w:sz w:val="28"/>
        </w:rPr>
        <w:t>.</w:t>
      </w:r>
    </w:p>
    <w:p w14:paraId="87000000">
      <w:pPr>
        <w:pStyle w:val="Style_5"/>
        <w:widowControl w:val="1"/>
        <w:ind w:firstLine="709"/>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Поддержание объема муниципального долга Крапивинского муниципального округа на оптимальном уровне.</w:t>
      </w:r>
    </w:p>
    <w:p w14:paraId="88000000">
      <w:pPr>
        <w:pStyle w:val="Style_5"/>
        <w:widowControl w:val="1"/>
        <w:ind w:firstLine="709"/>
        <w:jc w:val="both"/>
        <w:rPr>
          <w:rFonts w:ascii="Times New Roman" w:hAnsi="Times New Roman"/>
          <w:sz w:val="28"/>
        </w:rPr>
      </w:pPr>
      <w:r>
        <w:rPr>
          <w:rFonts w:ascii="Times New Roman" w:hAnsi="Times New Roman"/>
          <w:sz w:val="28"/>
        </w:rPr>
        <w:t xml:space="preserve">Данные направления будут реализовываться в рамках мероприятий, предусмотренных </w:t>
      </w:r>
      <w:r>
        <w:rPr>
          <w:rFonts w:ascii="Times New Roman" w:hAnsi="Times New Roman"/>
          <w:sz w:val="28"/>
        </w:rPr>
        <w:t>п</w:t>
      </w:r>
      <w:r>
        <w:rPr>
          <w:rFonts w:ascii="Times New Roman" w:hAnsi="Times New Roman"/>
          <w:sz w:val="28"/>
        </w:rPr>
        <w:t>лан</w:t>
      </w:r>
      <w:r>
        <w:rPr>
          <w:rFonts w:ascii="Times New Roman" w:hAnsi="Times New Roman"/>
          <w:sz w:val="28"/>
        </w:rPr>
        <w:t>ом</w:t>
      </w:r>
      <w:r>
        <w:rPr>
          <w:rFonts w:ascii="Times New Roman" w:hAnsi="Times New Roman"/>
          <w:sz w:val="28"/>
        </w:rPr>
        <w:t xml:space="preserve"> мероприятий по финансовому оздоровлению </w:t>
      </w:r>
      <w:r>
        <w:rPr>
          <w:rFonts w:ascii="Times New Roman" w:hAnsi="Times New Roman"/>
          <w:sz w:val="28"/>
        </w:rPr>
        <w:t>Крапивинского муниципального округа</w:t>
      </w:r>
      <w:r>
        <w:rPr>
          <w:rFonts w:ascii="Times New Roman" w:hAnsi="Times New Roman"/>
          <w:sz w:val="28"/>
        </w:rPr>
        <w:t xml:space="preserve"> </w:t>
      </w:r>
      <w:r>
        <w:rPr>
          <w:rFonts w:ascii="Times New Roman" w:hAnsi="Times New Roman"/>
          <w:sz w:val="28"/>
        </w:rPr>
        <w:t>на 202</w:t>
      </w:r>
      <w:r>
        <w:rPr>
          <w:rFonts w:ascii="Times New Roman" w:hAnsi="Times New Roman"/>
          <w:sz w:val="28"/>
        </w:rPr>
        <w:t>5</w:t>
      </w:r>
      <w:r>
        <w:rPr>
          <w:rFonts w:ascii="Times New Roman" w:hAnsi="Times New Roman"/>
          <w:sz w:val="28"/>
        </w:rPr>
        <w:t>–202</w:t>
      </w:r>
      <w:r>
        <w:rPr>
          <w:rFonts w:ascii="Times New Roman" w:hAnsi="Times New Roman"/>
          <w:sz w:val="28"/>
        </w:rPr>
        <w:t>7</w:t>
      </w:r>
      <w:r>
        <w:rPr>
          <w:rFonts w:ascii="Times New Roman" w:hAnsi="Times New Roman"/>
          <w:sz w:val="28"/>
        </w:rPr>
        <w:t xml:space="preserve"> годы</w:t>
      </w:r>
      <w:r>
        <w:rPr>
          <w:rFonts w:ascii="Times New Roman" w:hAnsi="Times New Roman"/>
          <w:sz w:val="28"/>
        </w:rPr>
        <w:t xml:space="preserve"> </w:t>
      </w:r>
      <w:r>
        <w:rPr>
          <w:rFonts w:ascii="Times New Roman" w:hAnsi="Times New Roman"/>
          <w:sz w:val="28"/>
        </w:rPr>
        <w:t>согласно приложению к настоящ</w:t>
      </w:r>
      <w:r>
        <w:rPr>
          <w:rFonts w:ascii="Times New Roman" w:hAnsi="Times New Roman"/>
          <w:sz w:val="28"/>
        </w:rPr>
        <w:t>ей</w:t>
      </w:r>
      <w:r>
        <w:rPr>
          <w:rFonts w:ascii="Times New Roman" w:hAnsi="Times New Roman"/>
          <w:sz w:val="28"/>
        </w:rPr>
        <w:t xml:space="preserve"> </w:t>
      </w:r>
      <w:r>
        <w:rPr>
          <w:rFonts w:ascii="Times New Roman" w:hAnsi="Times New Roman"/>
          <w:sz w:val="28"/>
        </w:rPr>
        <w:t>Программе</w:t>
      </w:r>
      <w:r>
        <w:rPr>
          <w:rFonts w:ascii="Times New Roman" w:hAnsi="Times New Roman"/>
          <w:sz w:val="28"/>
        </w:rPr>
        <w:t>.</w:t>
      </w:r>
    </w:p>
    <w:p w14:paraId="89000000">
      <w:pPr>
        <w:pStyle w:val="Style_5"/>
        <w:widowControl w:val="1"/>
        <w:ind w:firstLine="709"/>
        <w:jc w:val="both"/>
        <w:rPr>
          <w:rFonts w:ascii="Times New Roman" w:hAnsi="Times New Roman"/>
          <w:sz w:val="28"/>
        </w:rPr>
      </w:pPr>
    </w:p>
    <w:p w14:paraId="8A000000">
      <w:pPr>
        <w:pStyle w:val="Style_5"/>
        <w:widowControl w:val="1"/>
        <w:spacing w:line="264" w:lineRule="auto"/>
        <w:ind/>
        <w:jc w:val="center"/>
        <w:rPr>
          <w:rFonts w:ascii="Times New Roman" w:hAnsi="Times New Roman"/>
          <w:b w:val="1"/>
          <w:sz w:val="28"/>
        </w:rPr>
      </w:pPr>
      <w:r>
        <w:rPr>
          <w:rFonts w:ascii="Times New Roman" w:hAnsi="Times New Roman"/>
          <w:b w:val="1"/>
          <w:sz w:val="28"/>
        </w:rPr>
        <w:t>5</w:t>
      </w:r>
      <w:r>
        <w:rPr>
          <w:rFonts w:ascii="Times New Roman" w:hAnsi="Times New Roman"/>
          <w:b w:val="1"/>
          <w:sz w:val="28"/>
        </w:rPr>
        <w:t>. Ожидаемые результаты реализации Программы</w:t>
      </w:r>
    </w:p>
    <w:p w14:paraId="8B000000">
      <w:pPr>
        <w:pStyle w:val="Style_5"/>
        <w:widowControl w:val="1"/>
        <w:spacing w:line="264" w:lineRule="auto"/>
        <w:ind/>
        <w:jc w:val="center"/>
        <w:rPr>
          <w:rFonts w:ascii="Times New Roman" w:hAnsi="Times New Roman"/>
          <w:sz w:val="28"/>
        </w:rPr>
      </w:pPr>
    </w:p>
    <w:p w14:paraId="8C000000">
      <w:pPr>
        <w:pStyle w:val="Style_5"/>
        <w:widowControl w:val="1"/>
        <w:ind w:firstLine="709"/>
        <w:jc w:val="both"/>
        <w:rPr>
          <w:rFonts w:ascii="Times New Roman" w:hAnsi="Times New Roman"/>
          <w:sz w:val="28"/>
        </w:rPr>
      </w:pPr>
      <w:r>
        <w:rPr>
          <w:rFonts w:ascii="Times New Roman" w:hAnsi="Times New Roman"/>
          <w:sz w:val="28"/>
        </w:rPr>
        <w:t>Реализация Программы позволит:</w:t>
      </w:r>
    </w:p>
    <w:p w14:paraId="8D000000">
      <w:pPr>
        <w:pStyle w:val="Style_5"/>
        <w:widowControl w:val="1"/>
        <w:ind w:firstLine="709"/>
        <w:jc w:val="both"/>
        <w:rPr>
          <w:rFonts w:ascii="Times New Roman" w:hAnsi="Times New Roman"/>
          <w:sz w:val="28"/>
        </w:rPr>
      </w:pPr>
      <w:r>
        <w:rPr>
          <w:rFonts w:ascii="Times New Roman" w:hAnsi="Times New Roman"/>
          <w:sz w:val="28"/>
        </w:rPr>
        <w:t xml:space="preserve">1) </w:t>
      </w:r>
      <w:r>
        <w:rPr>
          <w:rFonts w:ascii="Times New Roman" w:hAnsi="Times New Roman"/>
          <w:sz w:val="28"/>
        </w:rPr>
        <w:t>улучшить состояние</w:t>
      </w:r>
      <w:r>
        <w:rPr>
          <w:rFonts w:ascii="Times New Roman" w:hAnsi="Times New Roman"/>
          <w:sz w:val="28"/>
        </w:rPr>
        <w:t xml:space="preserve"> </w:t>
      </w:r>
      <w:r>
        <w:rPr>
          <w:rFonts w:ascii="Times New Roman" w:hAnsi="Times New Roman"/>
          <w:sz w:val="28"/>
        </w:rPr>
        <w:t>муниципальных финансов</w:t>
      </w:r>
      <w:r>
        <w:rPr>
          <w:rFonts w:ascii="Times New Roman" w:hAnsi="Times New Roman"/>
          <w:sz w:val="28"/>
        </w:rPr>
        <w:t xml:space="preserve"> </w:t>
      </w:r>
      <w:r>
        <w:rPr>
          <w:rFonts w:ascii="Times New Roman" w:hAnsi="Times New Roman"/>
          <w:sz w:val="28"/>
        </w:rPr>
        <w:t>Крапивинского муниципального округа</w:t>
      </w:r>
      <w:r>
        <w:rPr>
          <w:rFonts w:ascii="Times New Roman" w:hAnsi="Times New Roman"/>
          <w:sz w:val="28"/>
        </w:rPr>
        <w:t>;</w:t>
      </w:r>
    </w:p>
    <w:p w14:paraId="8E000000">
      <w:pPr>
        <w:pStyle w:val="Style_5"/>
        <w:widowControl w:val="1"/>
        <w:ind w:firstLine="709"/>
        <w:jc w:val="both"/>
        <w:rPr>
          <w:rFonts w:ascii="Times New Roman" w:hAnsi="Times New Roman"/>
          <w:sz w:val="28"/>
        </w:rPr>
      </w:pPr>
      <w:r>
        <w:rPr>
          <w:rFonts w:ascii="Times New Roman" w:hAnsi="Times New Roman"/>
          <w:sz w:val="28"/>
        </w:rPr>
        <w:t xml:space="preserve">2) укрепить устойчивость бюджетной системы </w:t>
      </w:r>
      <w:r>
        <w:rPr>
          <w:rFonts w:ascii="Times New Roman" w:hAnsi="Times New Roman"/>
          <w:sz w:val="28"/>
        </w:rPr>
        <w:t>Крапивинского муниципального округа</w:t>
      </w:r>
      <w:r>
        <w:rPr>
          <w:rFonts w:ascii="Times New Roman" w:hAnsi="Times New Roman"/>
          <w:sz w:val="28"/>
        </w:rPr>
        <w:t>;</w:t>
      </w:r>
    </w:p>
    <w:p w14:paraId="8F000000">
      <w:pPr>
        <w:pStyle w:val="Style_5"/>
        <w:widowControl w:val="1"/>
        <w:ind w:firstLine="709"/>
        <w:jc w:val="both"/>
        <w:rPr>
          <w:rFonts w:ascii="Times New Roman" w:hAnsi="Times New Roman"/>
          <w:sz w:val="28"/>
        </w:rPr>
      </w:pPr>
      <w:r>
        <w:rPr>
          <w:rFonts w:ascii="Times New Roman" w:hAnsi="Times New Roman"/>
          <w:sz w:val="28"/>
        </w:rPr>
        <w:t>3) повысить качество управления муниципальными финансами, эффективность и результативность бюджетных расходов;</w:t>
      </w:r>
    </w:p>
    <w:p w14:paraId="90000000">
      <w:pPr>
        <w:pStyle w:val="Style_5"/>
        <w:widowControl w:val="1"/>
        <w:ind w:firstLine="709"/>
        <w:jc w:val="both"/>
        <w:rPr>
          <w:rFonts w:ascii="Times New Roman" w:hAnsi="Times New Roman"/>
          <w:sz w:val="28"/>
        </w:rPr>
      </w:pPr>
      <w:r>
        <w:rPr>
          <w:rFonts w:ascii="Times New Roman" w:hAnsi="Times New Roman"/>
          <w:sz w:val="28"/>
        </w:rPr>
        <w:t xml:space="preserve">4) </w:t>
      </w:r>
      <w:r>
        <w:rPr>
          <w:rFonts w:ascii="Times New Roman" w:hAnsi="Times New Roman"/>
          <w:sz w:val="28"/>
        </w:rPr>
        <w:t>обеспечить сбалансированноть бюджета Крапивинского муниципального округа.</w:t>
      </w:r>
    </w:p>
    <w:p w14:paraId="91000000">
      <w:pPr>
        <w:pStyle w:val="Style_5"/>
        <w:widowControl w:val="1"/>
        <w:ind w:firstLine="709"/>
        <w:jc w:val="both"/>
        <w:rPr>
          <w:rFonts w:ascii="Times New Roman" w:hAnsi="Times New Roman"/>
          <w:sz w:val="28"/>
        </w:rPr>
      </w:pPr>
      <w:r>
        <w:rPr>
          <w:rFonts w:ascii="Times New Roman" w:hAnsi="Times New Roman"/>
          <w:sz w:val="28"/>
        </w:rPr>
        <w:t xml:space="preserve">Планомерная и последовательная реализация </w:t>
      </w:r>
      <w:r>
        <w:rPr>
          <w:rFonts w:ascii="Times New Roman" w:hAnsi="Times New Roman"/>
          <w:sz w:val="28"/>
        </w:rPr>
        <w:t>п</w:t>
      </w:r>
      <w:r>
        <w:rPr>
          <w:rFonts w:ascii="Times New Roman" w:hAnsi="Times New Roman"/>
          <w:sz w:val="28"/>
        </w:rPr>
        <w:t>лан</w:t>
      </w:r>
      <w:r>
        <w:rPr>
          <w:rFonts w:ascii="Times New Roman" w:hAnsi="Times New Roman"/>
          <w:sz w:val="28"/>
        </w:rPr>
        <w:t>а</w:t>
      </w:r>
      <w:r>
        <w:rPr>
          <w:rFonts w:ascii="Times New Roman" w:hAnsi="Times New Roman"/>
          <w:sz w:val="28"/>
        </w:rPr>
        <w:t xml:space="preserve"> мероприятий по финансовому оздоровлению </w:t>
      </w:r>
      <w:r>
        <w:rPr>
          <w:rFonts w:ascii="Times New Roman" w:hAnsi="Times New Roman"/>
          <w:sz w:val="28"/>
        </w:rPr>
        <w:t>Крапивинского муниципального округа</w:t>
      </w:r>
      <w:r>
        <w:rPr>
          <w:rFonts w:ascii="Times New Roman" w:hAnsi="Times New Roman"/>
          <w:sz w:val="28"/>
        </w:rPr>
        <w:t xml:space="preserve"> </w:t>
      </w:r>
      <w:r>
        <w:rPr>
          <w:rFonts w:ascii="Times New Roman" w:hAnsi="Times New Roman"/>
          <w:sz w:val="28"/>
        </w:rPr>
        <w:t>на 202</w:t>
      </w:r>
      <w:r>
        <w:rPr>
          <w:rFonts w:ascii="Times New Roman" w:hAnsi="Times New Roman"/>
          <w:sz w:val="28"/>
        </w:rPr>
        <w:t>5</w:t>
      </w:r>
      <w:r>
        <w:rPr>
          <w:rFonts w:ascii="Times New Roman" w:hAnsi="Times New Roman"/>
          <w:sz w:val="28"/>
        </w:rPr>
        <w:t>–202</w:t>
      </w:r>
      <w:r>
        <w:rPr>
          <w:rFonts w:ascii="Times New Roman" w:hAnsi="Times New Roman"/>
          <w:sz w:val="28"/>
        </w:rPr>
        <w:t>7</w:t>
      </w:r>
      <w:r>
        <w:rPr>
          <w:rFonts w:ascii="Times New Roman" w:hAnsi="Times New Roman"/>
          <w:sz w:val="28"/>
        </w:rPr>
        <w:t xml:space="preserve"> годы</w:t>
      </w:r>
      <w:r>
        <w:rPr>
          <w:rFonts w:ascii="Times New Roman" w:hAnsi="Times New Roman"/>
          <w:sz w:val="28"/>
        </w:rPr>
        <w:t xml:space="preserve"> позволит достичь следующих результатов:</w:t>
      </w:r>
    </w:p>
    <w:p w14:paraId="92000000">
      <w:pPr>
        <w:widowControl w:val="0"/>
        <w:ind w:firstLine="709"/>
        <w:jc w:val="both"/>
        <w:rPr>
          <w:sz w:val="28"/>
        </w:rPr>
      </w:pPr>
      <w:r>
        <w:rPr>
          <w:sz w:val="28"/>
        </w:rPr>
        <w:t>привлечь дополнительные доходы в бюджет Крапивинского муниципального округа</w:t>
      </w:r>
      <w:r>
        <w:rPr>
          <w:sz w:val="28"/>
        </w:rPr>
        <w:t xml:space="preserve">: </w:t>
      </w:r>
      <w:r>
        <w:rPr>
          <w:sz w:val="28"/>
        </w:rPr>
        <w:t>в 20</w:t>
      </w:r>
      <w:r>
        <w:rPr>
          <w:sz w:val="28"/>
        </w:rPr>
        <w:t>2</w:t>
      </w:r>
      <w:r>
        <w:rPr>
          <w:sz w:val="28"/>
        </w:rPr>
        <w:t>5</w:t>
      </w:r>
      <w:r>
        <w:rPr>
          <w:sz w:val="28"/>
        </w:rPr>
        <w:t xml:space="preserve"> году</w:t>
      </w:r>
      <w:r>
        <w:rPr>
          <w:sz w:val="28"/>
        </w:rPr>
        <w:t xml:space="preserve"> </w:t>
      </w:r>
      <w:r>
        <w:rPr>
          <w:sz w:val="28"/>
        </w:rPr>
        <w:t>–</w:t>
      </w:r>
      <w:r>
        <w:rPr>
          <w:sz w:val="28"/>
        </w:rPr>
        <w:t xml:space="preserve"> </w:t>
      </w:r>
      <w:r>
        <w:rPr>
          <w:sz w:val="28"/>
        </w:rPr>
        <w:t>6 335,0</w:t>
      </w:r>
      <w:r>
        <w:rPr>
          <w:sz w:val="28"/>
        </w:rPr>
        <w:t xml:space="preserve"> </w:t>
      </w:r>
      <w:r>
        <w:rPr>
          <w:sz w:val="28"/>
        </w:rPr>
        <w:t>тыс</w:t>
      </w:r>
      <w:r>
        <w:rPr>
          <w:sz w:val="28"/>
        </w:rPr>
        <w:t xml:space="preserve"> </w:t>
      </w:r>
      <w:r>
        <w:rPr>
          <w:sz w:val="28"/>
        </w:rPr>
        <w:t xml:space="preserve"> </w:t>
      </w:r>
      <w:r>
        <w:rPr>
          <w:sz w:val="28"/>
        </w:rPr>
        <w:t xml:space="preserve">рублей, в </w:t>
      </w:r>
      <w:r>
        <w:rPr>
          <w:sz w:val="28"/>
        </w:rPr>
        <w:t>202</w:t>
      </w:r>
      <w:r>
        <w:rPr>
          <w:sz w:val="28"/>
        </w:rPr>
        <w:t>6</w:t>
      </w:r>
      <w:r>
        <w:rPr>
          <w:sz w:val="28"/>
        </w:rPr>
        <w:t xml:space="preserve"> году –</w:t>
      </w:r>
      <w:r>
        <w:rPr>
          <w:sz w:val="28"/>
        </w:rPr>
        <w:t xml:space="preserve"> </w:t>
      </w:r>
      <w:r>
        <w:rPr>
          <w:sz w:val="28"/>
        </w:rPr>
        <w:t xml:space="preserve">      </w:t>
      </w:r>
      <w:r>
        <w:rPr>
          <w:sz w:val="28"/>
        </w:rPr>
        <w:t>6 335,0</w:t>
      </w:r>
      <w:r>
        <w:rPr>
          <w:sz w:val="28"/>
        </w:rPr>
        <w:t xml:space="preserve"> </w:t>
      </w:r>
      <w:r>
        <w:rPr>
          <w:sz w:val="28"/>
        </w:rPr>
        <w:t xml:space="preserve"> </w:t>
      </w:r>
      <w:r>
        <w:rPr>
          <w:sz w:val="28"/>
        </w:rPr>
        <w:t>тыс</w:t>
      </w:r>
      <w:r>
        <w:rPr>
          <w:sz w:val="28"/>
        </w:rPr>
        <w:t xml:space="preserve"> рублей, в</w:t>
      </w:r>
      <w:r>
        <w:rPr>
          <w:sz w:val="28"/>
        </w:rPr>
        <w:t xml:space="preserve"> </w:t>
      </w:r>
      <w:r>
        <w:rPr>
          <w:sz w:val="28"/>
        </w:rPr>
        <w:t>20</w:t>
      </w:r>
      <w:r>
        <w:rPr>
          <w:sz w:val="28"/>
        </w:rPr>
        <w:t>2</w:t>
      </w:r>
      <w:r>
        <w:rPr>
          <w:sz w:val="28"/>
        </w:rPr>
        <w:t>7</w:t>
      </w:r>
      <w:r>
        <w:rPr>
          <w:sz w:val="28"/>
        </w:rPr>
        <w:t xml:space="preserve"> году – </w:t>
      </w:r>
      <w:r>
        <w:rPr>
          <w:sz w:val="28"/>
        </w:rPr>
        <w:t>6 335,0</w:t>
      </w:r>
      <w:r>
        <w:rPr>
          <w:sz w:val="28"/>
        </w:rPr>
        <w:t xml:space="preserve"> тыс</w:t>
      </w:r>
      <w:r>
        <w:rPr>
          <w:sz w:val="28"/>
        </w:rPr>
        <w:t xml:space="preserve"> рублей;</w:t>
      </w:r>
    </w:p>
    <w:p w14:paraId="93000000">
      <w:pPr>
        <w:widowControl w:val="0"/>
        <w:ind w:firstLine="709"/>
        <w:jc w:val="both"/>
        <w:rPr>
          <w:sz w:val="28"/>
        </w:rPr>
      </w:pPr>
      <w:r>
        <w:rPr>
          <w:sz w:val="28"/>
        </w:rPr>
        <w:t xml:space="preserve">получить бюджетный эффект от повышения эффективности расходов </w:t>
      </w:r>
      <w:r>
        <w:rPr>
          <w:sz w:val="28"/>
        </w:rPr>
        <w:t xml:space="preserve"> бюджета Крапивинского муниципального округа</w:t>
      </w:r>
      <w:r>
        <w:rPr>
          <w:sz w:val="28"/>
        </w:rPr>
        <w:t xml:space="preserve">: </w:t>
      </w:r>
      <w:r>
        <w:rPr>
          <w:sz w:val="28"/>
        </w:rPr>
        <w:t xml:space="preserve">в </w:t>
      </w:r>
      <w:r>
        <w:rPr>
          <w:sz w:val="28"/>
        </w:rPr>
        <w:t>202</w:t>
      </w:r>
      <w:r>
        <w:rPr>
          <w:sz w:val="28"/>
        </w:rPr>
        <w:t>5</w:t>
      </w:r>
      <w:r>
        <w:rPr>
          <w:sz w:val="28"/>
        </w:rPr>
        <w:t xml:space="preserve"> году</w:t>
      </w:r>
      <w:r>
        <w:rPr>
          <w:sz w:val="28"/>
        </w:rPr>
        <w:t xml:space="preserve"> –</w:t>
      </w:r>
      <w:r>
        <w:rPr>
          <w:sz w:val="28"/>
        </w:rPr>
        <w:t xml:space="preserve"> </w:t>
      </w:r>
      <w:r>
        <w:rPr>
          <w:sz w:val="28"/>
        </w:rPr>
        <w:t>2</w:t>
      </w:r>
      <w:r>
        <w:rPr>
          <w:sz w:val="28"/>
        </w:rPr>
        <w:t>6050</w:t>
      </w:r>
      <w:r>
        <w:rPr>
          <w:sz w:val="28"/>
        </w:rPr>
        <w:t>,0</w:t>
      </w:r>
      <w:r>
        <w:rPr>
          <w:sz w:val="28"/>
        </w:rPr>
        <w:t xml:space="preserve"> </w:t>
      </w:r>
      <w:r>
        <w:rPr>
          <w:sz w:val="28"/>
        </w:rPr>
        <w:t>тыс. рублей</w:t>
      </w:r>
      <w:r>
        <w:rPr>
          <w:sz w:val="28"/>
        </w:rPr>
        <w:t>, в 202</w:t>
      </w:r>
      <w:r>
        <w:rPr>
          <w:sz w:val="28"/>
        </w:rPr>
        <w:t>6</w:t>
      </w:r>
      <w:r>
        <w:rPr>
          <w:sz w:val="28"/>
        </w:rPr>
        <w:t xml:space="preserve"> году – </w:t>
      </w:r>
      <w:r>
        <w:rPr>
          <w:sz w:val="28"/>
        </w:rPr>
        <w:t xml:space="preserve">350,0 </w:t>
      </w:r>
      <w:r>
        <w:rPr>
          <w:sz w:val="28"/>
        </w:rPr>
        <w:t>тыс. рублей</w:t>
      </w:r>
      <w:r>
        <w:rPr>
          <w:sz w:val="28"/>
        </w:rPr>
        <w:t xml:space="preserve">, в </w:t>
      </w:r>
      <w:r>
        <w:rPr>
          <w:sz w:val="28"/>
        </w:rPr>
        <w:t>202</w:t>
      </w:r>
      <w:r>
        <w:rPr>
          <w:sz w:val="28"/>
        </w:rPr>
        <w:t>7</w:t>
      </w:r>
      <w:r>
        <w:rPr>
          <w:sz w:val="28"/>
        </w:rPr>
        <w:t xml:space="preserve"> году – </w:t>
      </w:r>
      <w:r>
        <w:rPr>
          <w:sz w:val="28"/>
        </w:rPr>
        <w:t>4</w:t>
      </w:r>
      <w:r>
        <w:rPr>
          <w:sz w:val="28"/>
        </w:rPr>
        <w:t>0</w:t>
      </w:r>
      <w:r>
        <w:rPr>
          <w:sz w:val="28"/>
        </w:rPr>
        <w:t>0,0</w:t>
      </w:r>
      <w:r>
        <w:rPr>
          <w:sz w:val="28"/>
        </w:rPr>
        <w:t xml:space="preserve"> </w:t>
      </w:r>
      <w:r>
        <w:rPr>
          <w:sz w:val="28"/>
        </w:rPr>
        <w:t>тыс. рублей</w:t>
      </w:r>
      <w:r>
        <w:rPr>
          <w:sz w:val="28"/>
        </w:rPr>
        <w:t>.</w:t>
      </w:r>
    </w:p>
    <w:p w14:paraId="94000000">
      <w:pPr>
        <w:widowControl w:val="0"/>
        <w:ind w:firstLine="709"/>
        <w:jc w:val="both"/>
        <w:rPr>
          <w:sz w:val="28"/>
        </w:rPr>
      </w:pPr>
    </w:p>
    <w:p w14:paraId="95000000">
      <w:pPr>
        <w:widowControl w:val="0"/>
        <w:ind/>
        <w:jc w:val="center"/>
        <w:rPr>
          <w:b w:val="1"/>
          <w:sz w:val="28"/>
        </w:rPr>
      </w:pPr>
      <w:r>
        <w:rPr>
          <w:b w:val="1"/>
          <w:sz w:val="28"/>
        </w:rPr>
        <w:t>6</w:t>
      </w:r>
      <w:r>
        <w:rPr>
          <w:b w:val="1"/>
          <w:sz w:val="28"/>
        </w:rPr>
        <w:t>. Риски реализации Программы</w:t>
      </w:r>
    </w:p>
    <w:p w14:paraId="96000000">
      <w:pPr>
        <w:widowControl w:val="0"/>
        <w:ind/>
        <w:jc w:val="center"/>
        <w:rPr>
          <w:sz w:val="28"/>
        </w:rPr>
      </w:pPr>
    </w:p>
    <w:p w14:paraId="97000000">
      <w:pPr>
        <w:widowControl w:val="0"/>
        <w:ind w:firstLine="709"/>
        <w:jc w:val="both"/>
        <w:rPr>
          <w:sz w:val="28"/>
        </w:rPr>
      </w:pPr>
      <w:r>
        <w:rPr>
          <w:sz w:val="28"/>
        </w:rPr>
        <w:t>Реализация Программы связана с возникновением рисков как внешнего, так и внутреннего характера.</w:t>
      </w:r>
    </w:p>
    <w:p w14:paraId="98000000">
      <w:pPr>
        <w:widowControl w:val="0"/>
        <w:ind w:firstLine="709"/>
        <w:jc w:val="both"/>
        <w:rPr>
          <w:sz w:val="28"/>
        </w:rPr>
      </w:pPr>
      <w:r>
        <w:rPr>
          <w:sz w:val="28"/>
        </w:rPr>
        <w:t>К основным рискам реализации Программы относятся:</w:t>
      </w:r>
    </w:p>
    <w:p w14:paraId="99000000">
      <w:pPr>
        <w:widowControl w:val="0"/>
        <w:ind w:firstLine="709"/>
        <w:jc w:val="both"/>
        <w:rPr>
          <w:sz w:val="28"/>
        </w:rPr>
      </w:pPr>
      <w:r>
        <w:rPr>
          <w:sz w:val="28"/>
        </w:rPr>
        <w:t xml:space="preserve">1) в сфере формирования доходов бюджета </w:t>
      </w:r>
      <w:r>
        <w:rPr>
          <w:sz w:val="28"/>
        </w:rPr>
        <w:t>Крапивинского муниципального округа</w:t>
      </w:r>
      <w:r>
        <w:rPr>
          <w:sz w:val="28"/>
        </w:rPr>
        <w:t>:</w:t>
      </w:r>
    </w:p>
    <w:p w14:paraId="9A000000">
      <w:pPr>
        <w:widowControl w:val="0"/>
        <w:ind w:firstLine="709"/>
        <w:jc w:val="both"/>
        <w:rPr>
          <w:sz w:val="28"/>
        </w:rPr>
      </w:pPr>
      <w:r>
        <w:rPr>
          <w:sz w:val="28"/>
        </w:rPr>
        <w:t>изменение федерального налогового и бюджетного законодательства и нормативов зачисления налоговых и неналоговых доходов в бюджеты бюджетной системы Российской Федерации;</w:t>
      </w:r>
    </w:p>
    <w:p w14:paraId="9B000000">
      <w:pPr>
        <w:widowControl w:val="0"/>
        <w:ind w:firstLine="709"/>
        <w:jc w:val="both"/>
        <w:rPr>
          <w:sz w:val="28"/>
        </w:rPr>
      </w:pPr>
      <w:r>
        <w:rPr>
          <w:sz w:val="28"/>
        </w:rPr>
        <w:t>риск негативного изменения экономической ситуации в течение бюджетного года;</w:t>
      </w:r>
    </w:p>
    <w:p w14:paraId="9C000000">
      <w:pPr>
        <w:widowControl w:val="0"/>
        <w:ind w:firstLine="709"/>
        <w:jc w:val="both"/>
        <w:rPr>
          <w:sz w:val="28"/>
        </w:rPr>
      </w:pPr>
      <w:r>
        <w:rPr>
          <w:sz w:val="28"/>
        </w:rPr>
        <w:t>рост сокрытой налоговой базы, в том числе по налогу на доходы физических лиц в связи с возможным ростом «теневой» заработной платы;</w:t>
      </w:r>
    </w:p>
    <w:p w14:paraId="9D000000">
      <w:pPr>
        <w:widowControl w:val="0"/>
        <w:ind w:firstLine="709"/>
        <w:jc w:val="both"/>
        <w:rPr>
          <w:sz w:val="28"/>
        </w:rPr>
      </w:pPr>
      <w:r>
        <w:rPr>
          <w:sz w:val="28"/>
        </w:rPr>
        <w:t>неисполнение налогоплательщиками налоговых обязательств или исполнение налоговых обязательств не в полном объеме;</w:t>
      </w:r>
    </w:p>
    <w:p w14:paraId="9E000000">
      <w:pPr>
        <w:widowControl w:val="0"/>
        <w:ind w:firstLine="709"/>
        <w:jc w:val="both"/>
        <w:rPr>
          <w:sz w:val="28"/>
        </w:rPr>
      </w:pPr>
      <w:r>
        <w:rPr>
          <w:sz w:val="28"/>
        </w:rPr>
        <w:t xml:space="preserve">риск значительного снижения доходного потенциала </w:t>
      </w:r>
      <w:r>
        <w:rPr>
          <w:sz w:val="28"/>
        </w:rPr>
        <w:t>бюджета</w:t>
      </w:r>
      <w:r>
        <w:rPr>
          <w:sz w:val="28"/>
        </w:rPr>
        <w:t xml:space="preserve"> в результате обжалования результатов кадастровой оценки земельных участков на территории </w:t>
      </w:r>
      <w:r>
        <w:rPr>
          <w:sz w:val="28"/>
        </w:rPr>
        <w:t>Крапивинского муниципального округа</w:t>
      </w:r>
      <w:r>
        <w:rPr>
          <w:sz w:val="28"/>
        </w:rPr>
        <w:t>;</w:t>
      </w:r>
    </w:p>
    <w:p w14:paraId="9F000000">
      <w:pPr>
        <w:widowControl w:val="0"/>
        <w:ind w:firstLine="709"/>
        <w:jc w:val="both"/>
        <w:rPr>
          <w:sz w:val="28"/>
        </w:rPr>
      </w:pPr>
      <w:r>
        <w:rPr>
          <w:sz w:val="28"/>
        </w:rPr>
        <w:t>риски, обусловленные сокращением финансовой помощи из вышестоящего бюджета;</w:t>
      </w:r>
    </w:p>
    <w:p w14:paraId="A0000000">
      <w:pPr>
        <w:widowControl w:val="0"/>
        <w:ind w:firstLine="709"/>
        <w:jc w:val="both"/>
        <w:rPr>
          <w:sz w:val="28"/>
        </w:rPr>
      </w:pPr>
      <w:r>
        <w:rPr>
          <w:sz w:val="28"/>
        </w:rPr>
        <w:t xml:space="preserve">2) в сфере формирования расходов </w:t>
      </w:r>
      <w:r>
        <w:rPr>
          <w:sz w:val="28"/>
        </w:rPr>
        <w:t>бюджета Крапивинского муниципального округа</w:t>
      </w:r>
      <w:r>
        <w:rPr>
          <w:sz w:val="28"/>
        </w:rPr>
        <w:t>:</w:t>
      </w:r>
    </w:p>
    <w:p w14:paraId="A1000000">
      <w:pPr>
        <w:widowControl w:val="0"/>
        <w:ind w:firstLine="709"/>
        <w:jc w:val="both"/>
        <w:rPr>
          <w:sz w:val="28"/>
        </w:rPr>
      </w:pPr>
      <w:r>
        <w:rPr>
          <w:sz w:val="28"/>
        </w:rPr>
        <w:t>риски, вызванные инфляционным давлением на текущие расходы;</w:t>
      </w:r>
    </w:p>
    <w:p w14:paraId="A2000000">
      <w:pPr>
        <w:widowControl w:val="0"/>
        <w:ind w:firstLine="709"/>
        <w:jc w:val="both"/>
        <w:rPr>
          <w:sz w:val="28"/>
        </w:rPr>
      </w:pPr>
      <w:r>
        <w:rPr>
          <w:sz w:val="28"/>
        </w:rPr>
        <w:t>риски, связанные с принятием на федеральном</w:t>
      </w:r>
      <w:r>
        <w:rPr>
          <w:sz w:val="28"/>
        </w:rPr>
        <w:t xml:space="preserve"> и региональном</w:t>
      </w:r>
      <w:r>
        <w:rPr>
          <w:sz w:val="28"/>
        </w:rPr>
        <w:t xml:space="preserve"> уровн</w:t>
      </w:r>
      <w:r>
        <w:rPr>
          <w:sz w:val="28"/>
        </w:rPr>
        <w:t>ях</w:t>
      </w:r>
      <w:r>
        <w:rPr>
          <w:sz w:val="28"/>
        </w:rPr>
        <w:t xml:space="preserve"> решений, влияющих на увеличение расходных обязательств нижестоящих уровней;</w:t>
      </w:r>
    </w:p>
    <w:p w14:paraId="A3000000">
      <w:pPr>
        <w:widowControl w:val="0"/>
        <w:ind w:firstLine="709"/>
        <w:jc w:val="both"/>
        <w:rPr>
          <w:sz w:val="28"/>
        </w:rPr>
      </w:pPr>
      <w:r>
        <w:rPr>
          <w:sz w:val="28"/>
        </w:rPr>
        <w:t>риски, связанные с возникновением непредвиденных ситуаций форс-мажорного характера;</w:t>
      </w:r>
    </w:p>
    <w:p w14:paraId="A4000000">
      <w:pPr>
        <w:widowControl w:val="0"/>
        <w:ind w:firstLine="709"/>
        <w:jc w:val="both"/>
        <w:rPr>
          <w:sz w:val="28"/>
        </w:rPr>
      </w:pPr>
      <w:r>
        <w:rPr>
          <w:sz w:val="28"/>
        </w:rPr>
        <w:t>3) в сфере управления муниципальным долгом:</w:t>
      </w:r>
    </w:p>
    <w:p w14:paraId="A5000000">
      <w:pPr>
        <w:widowControl w:val="0"/>
        <w:ind w:firstLine="709"/>
        <w:jc w:val="both"/>
        <w:rPr>
          <w:sz w:val="28"/>
        </w:rPr>
      </w:pPr>
      <w:r>
        <w:rPr>
          <w:sz w:val="28"/>
        </w:rPr>
        <w:t xml:space="preserve">риск ликвидности </w:t>
      </w:r>
      <w:r>
        <w:rPr>
          <w:sz w:val="28"/>
        </w:rPr>
        <w:t>–</w:t>
      </w:r>
      <w:r>
        <w:rPr>
          <w:sz w:val="28"/>
        </w:rPr>
        <w:t xml:space="preserve"> риск неисполнения долговых обязательств бюджетом </w:t>
      </w:r>
      <w:r>
        <w:rPr>
          <w:sz w:val="28"/>
        </w:rPr>
        <w:t>Крапивинского муниципального округа</w:t>
      </w:r>
      <w:r>
        <w:rPr>
          <w:sz w:val="28"/>
        </w:rPr>
        <w:t>. Основным источником риска ликвидности является нарушение баланса финансовых активов</w:t>
      </w:r>
      <w:r>
        <w:rPr>
          <w:sz w:val="28"/>
        </w:rPr>
        <w:t xml:space="preserve"> </w:t>
      </w:r>
      <w:r>
        <w:rPr>
          <w:sz w:val="28"/>
        </w:rPr>
        <w:t xml:space="preserve">и финансовых обязательств бюджета </w:t>
      </w:r>
      <w:r>
        <w:rPr>
          <w:sz w:val="28"/>
        </w:rPr>
        <w:t>Крапивинского муниципального округа</w:t>
      </w:r>
      <w:r>
        <w:rPr>
          <w:sz w:val="28"/>
        </w:rPr>
        <w:t xml:space="preserve"> и (или) возникновение непредвиденной необходимости немедленного и единовременного</w:t>
      </w:r>
      <w:r>
        <w:rPr>
          <w:sz w:val="28"/>
        </w:rPr>
        <w:t xml:space="preserve"> </w:t>
      </w:r>
      <w:r>
        <w:rPr>
          <w:sz w:val="28"/>
        </w:rPr>
        <w:t>исполнения финансовых обязательств</w:t>
      </w:r>
      <w:r>
        <w:rPr>
          <w:sz w:val="28"/>
        </w:rPr>
        <w:t>.</w:t>
      </w:r>
    </w:p>
    <w:p w14:paraId="A6000000">
      <w:pPr>
        <w:sectPr>
          <w:headerReference r:id="rId4" w:type="default"/>
          <w:headerReference r:id="rId2" w:type="even"/>
          <w:pgSz w:h="16834" w:orient="portrait" w:w="11901"/>
          <w:pgMar w:bottom="851" w:footer="720" w:gutter="0" w:header="720" w:left="1701" w:right="851" w:top="426"/>
          <w:titlePg/>
        </w:sectPr>
      </w:pPr>
    </w:p>
    <w:tbl>
      <w:tblPr>
        <w:tblStyle w:val="Style_4"/>
        <w:tblW w:type="auto" w:w="0"/>
        <w:tblInd w:type="dxa" w:w="108"/>
        <w:tblLayout w:type="fixed"/>
      </w:tblPr>
      <w:tblGrid>
        <w:gridCol w:w="9498"/>
        <w:gridCol w:w="5176"/>
      </w:tblGrid>
      <w:tr>
        <w:tc>
          <w:tcPr>
            <w:tcW w:type="dxa" w:w="9498"/>
            <w:shd w:fill="auto" w:val="clear"/>
          </w:tcPr>
          <w:p w14:paraId="A7000000">
            <w:pPr>
              <w:widowControl w:val="1"/>
              <w:ind/>
              <w:jc w:val="center"/>
              <w:rPr>
                <w:sz w:val="28"/>
              </w:rPr>
            </w:pPr>
          </w:p>
        </w:tc>
        <w:tc>
          <w:tcPr>
            <w:tcW w:type="dxa" w:w="5176"/>
            <w:shd w:fill="auto" w:val="clear"/>
          </w:tcPr>
          <w:p w14:paraId="A8000000">
            <w:pPr>
              <w:rPr>
                <w:sz w:val="28"/>
              </w:rPr>
            </w:pPr>
            <w:r>
              <w:rPr>
                <w:sz w:val="28"/>
              </w:rPr>
              <w:t>Приложение</w:t>
            </w:r>
          </w:p>
          <w:p w14:paraId="A9000000">
            <w:pPr>
              <w:rPr>
                <w:sz w:val="28"/>
              </w:rPr>
            </w:pPr>
            <w:r>
              <w:rPr>
                <w:sz w:val="28"/>
              </w:rPr>
              <w:t>к Программе финансового оздоровления</w:t>
            </w:r>
          </w:p>
          <w:p w14:paraId="AA000000">
            <w:pPr>
              <w:rPr>
                <w:sz w:val="28"/>
              </w:rPr>
            </w:pPr>
            <w:r>
              <w:rPr>
                <w:sz w:val="28"/>
              </w:rPr>
              <w:t>Крапивинского муниципального округа</w:t>
            </w:r>
          </w:p>
          <w:p w14:paraId="AB000000">
            <w:pPr>
              <w:rPr>
                <w:sz w:val="28"/>
              </w:rPr>
            </w:pPr>
            <w:r>
              <w:rPr>
                <w:sz w:val="28"/>
              </w:rPr>
              <w:t>на 202</w:t>
            </w:r>
            <w:r>
              <w:rPr>
                <w:sz w:val="28"/>
              </w:rPr>
              <w:t>5</w:t>
            </w:r>
            <w:r>
              <w:rPr>
                <w:sz w:val="28"/>
              </w:rPr>
              <w:t>–202</w:t>
            </w:r>
            <w:r>
              <w:rPr>
                <w:sz w:val="28"/>
              </w:rPr>
              <w:t>7</w:t>
            </w:r>
            <w:r>
              <w:rPr>
                <w:sz w:val="28"/>
              </w:rPr>
              <w:t xml:space="preserve"> годы</w:t>
            </w:r>
          </w:p>
        </w:tc>
      </w:tr>
    </w:tbl>
    <w:p w14:paraId="AC000000">
      <w:pPr>
        <w:widowControl w:val="1"/>
        <w:ind/>
        <w:jc w:val="center"/>
        <w:rPr>
          <w:sz w:val="12"/>
        </w:rPr>
      </w:pPr>
    </w:p>
    <w:p w14:paraId="AD000000">
      <w:pPr>
        <w:widowControl w:val="1"/>
        <w:ind/>
        <w:jc w:val="center"/>
        <w:rPr>
          <w:b w:val="1"/>
          <w:sz w:val="28"/>
        </w:rPr>
      </w:pPr>
      <w:r>
        <w:rPr>
          <w:b w:val="1"/>
          <w:sz w:val="28"/>
        </w:rPr>
        <w:t xml:space="preserve">План мероприятий по финансовому оздоровлению </w:t>
      </w:r>
      <w:r>
        <w:rPr>
          <w:b w:val="1"/>
          <w:sz w:val="28"/>
        </w:rPr>
        <w:t>Крапивинского муниципального округа</w:t>
      </w:r>
      <w:r>
        <w:rPr>
          <w:b w:val="1"/>
          <w:sz w:val="28"/>
        </w:rPr>
        <w:t xml:space="preserve"> </w:t>
      </w:r>
      <w:r>
        <w:rPr>
          <w:b w:val="1"/>
          <w:sz w:val="28"/>
        </w:rPr>
        <w:t>на 202</w:t>
      </w:r>
      <w:r>
        <w:rPr>
          <w:b w:val="1"/>
          <w:sz w:val="28"/>
        </w:rPr>
        <w:t>5</w:t>
      </w:r>
      <w:r>
        <w:rPr>
          <w:b w:val="1"/>
          <w:sz w:val="28"/>
        </w:rPr>
        <w:t>–202</w:t>
      </w:r>
      <w:r>
        <w:rPr>
          <w:b w:val="1"/>
          <w:sz w:val="28"/>
        </w:rPr>
        <w:t>7</w:t>
      </w:r>
      <w:r>
        <w:rPr>
          <w:b w:val="1"/>
          <w:sz w:val="28"/>
        </w:rPr>
        <w:t xml:space="preserve"> </w:t>
      </w:r>
      <w:r>
        <w:rPr>
          <w:b w:val="1"/>
          <w:sz w:val="28"/>
        </w:rPr>
        <w:t>год</w:t>
      </w:r>
      <w:r>
        <w:rPr>
          <w:b w:val="1"/>
          <w:sz w:val="28"/>
        </w:rPr>
        <w:t>ы</w:t>
      </w:r>
    </w:p>
    <w:p w14:paraId="AE000000">
      <w:pPr>
        <w:widowControl w:val="1"/>
        <w:ind/>
        <w:jc w:val="center"/>
        <w:rPr>
          <w:sz w:val="12"/>
        </w:rPr>
      </w:pPr>
    </w:p>
    <w:tbl>
      <w:tblPr>
        <w:tblStyle w:val="Style_4"/>
        <w:tblW w:type="auto" w:w="0"/>
        <w:tblInd w:type="dxa" w:w="-3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93"/>
        <w:gridCol w:w="4253"/>
        <w:gridCol w:w="4111"/>
        <w:gridCol w:w="1701"/>
        <w:gridCol w:w="1560"/>
        <w:gridCol w:w="1417"/>
        <w:gridCol w:w="1418"/>
      </w:tblGrid>
      <w:tr>
        <w:tc>
          <w:tcPr>
            <w:tcW w:type="dxa" w:w="993"/>
            <w:vMerge w:val="restart"/>
            <w:tcBorders>
              <w:top w:color="000000" w:sz="4" w:val="single"/>
              <w:left w:color="000000" w:sz="4" w:val="single"/>
              <w:bottom w:sz="4" w:val="nil"/>
              <w:right w:color="000000" w:sz="4" w:val="single"/>
            </w:tcBorders>
          </w:tcPr>
          <w:p w14:paraId="AF000000">
            <w:pPr>
              <w:widowControl w:val="1"/>
              <w:ind/>
              <w:jc w:val="center"/>
              <w:rPr>
                <w:sz w:val="26"/>
              </w:rPr>
            </w:pPr>
            <w:r>
              <w:rPr>
                <w:sz w:val="26"/>
              </w:rPr>
              <w:t>№</w:t>
            </w:r>
          </w:p>
          <w:p w14:paraId="B0000000">
            <w:pPr>
              <w:widowControl w:val="1"/>
              <w:ind/>
              <w:jc w:val="center"/>
              <w:rPr>
                <w:sz w:val="26"/>
              </w:rPr>
            </w:pPr>
            <w:r>
              <w:rPr>
                <w:sz w:val="26"/>
              </w:rPr>
              <w:t>п/п</w:t>
            </w:r>
          </w:p>
        </w:tc>
        <w:tc>
          <w:tcPr>
            <w:tcW w:type="dxa" w:w="4253"/>
            <w:vMerge w:val="restart"/>
            <w:tcBorders>
              <w:top w:color="000000" w:sz="4" w:val="single"/>
              <w:left w:color="000000" w:sz="4" w:val="single"/>
              <w:bottom w:sz="4" w:val="nil"/>
              <w:right w:color="000000" w:sz="4" w:val="single"/>
            </w:tcBorders>
            <w:vAlign w:val="center"/>
          </w:tcPr>
          <w:p w14:paraId="B1000000">
            <w:pPr>
              <w:widowControl w:val="1"/>
              <w:ind/>
              <w:jc w:val="center"/>
              <w:rPr>
                <w:sz w:val="26"/>
              </w:rPr>
            </w:pPr>
            <w:r>
              <w:rPr>
                <w:sz w:val="26"/>
              </w:rPr>
              <w:t>Мероприятия</w:t>
            </w:r>
          </w:p>
        </w:tc>
        <w:tc>
          <w:tcPr>
            <w:tcW w:type="dxa" w:w="4111"/>
            <w:vMerge w:val="restart"/>
            <w:tcBorders>
              <w:top w:color="000000" w:sz="4" w:val="single"/>
              <w:left w:color="000000" w:sz="4" w:val="single"/>
              <w:bottom w:sz="4" w:val="nil"/>
              <w:right w:color="000000" w:sz="4" w:val="single"/>
            </w:tcBorders>
            <w:vAlign w:val="center"/>
          </w:tcPr>
          <w:p w14:paraId="B2000000">
            <w:pPr>
              <w:widowControl w:val="1"/>
              <w:ind/>
              <w:jc w:val="center"/>
              <w:rPr>
                <w:sz w:val="26"/>
              </w:rPr>
            </w:pPr>
            <w:r>
              <w:rPr>
                <w:sz w:val="26"/>
              </w:rPr>
              <w:t>Отв</w:t>
            </w:r>
            <w:r>
              <w:rPr>
                <w:sz w:val="26"/>
              </w:rPr>
              <w:t>етственные исполнители</w:t>
            </w:r>
          </w:p>
        </w:tc>
        <w:tc>
          <w:tcPr>
            <w:tcW w:type="dxa" w:w="1701"/>
            <w:vMerge w:val="restart"/>
            <w:tcBorders>
              <w:top w:color="000000" w:sz="4" w:val="single"/>
              <w:left w:color="000000" w:sz="4" w:val="single"/>
              <w:bottom w:sz="4" w:val="nil"/>
              <w:right w:color="000000" w:sz="4" w:val="single"/>
            </w:tcBorders>
            <w:vAlign w:val="center"/>
          </w:tcPr>
          <w:p w14:paraId="B3000000">
            <w:pPr>
              <w:widowControl w:val="1"/>
              <w:ind/>
              <w:jc w:val="center"/>
              <w:rPr>
                <w:sz w:val="26"/>
              </w:rPr>
            </w:pPr>
            <w:r>
              <w:rPr>
                <w:sz w:val="26"/>
              </w:rPr>
              <w:t>Сроки</w:t>
            </w:r>
            <w:r>
              <w:rPr>
                <w:sz w:val="26"/>
              </w:rPr>
              <w:t xml:space="preserve"> в</w:t>
            </w:r>
            <w:r>
              <w:rPr>
                <w:sz w:val="26"/>
              </w:rPr>
              <w:t>ыполнения</w:t>
            </w:r>
          </w:p>
        </w:tc>
        <w:tc>
          <w:tcPr>
            <w:tcW w:type="dxa" w:w="4395"/>
            <w:gridSpan w:val="3"/>
            <w:tcBorders>
              <w:top w:color="000000" w:sz="4" w:val="single"/>
              <w:left w:color="000000" w:sz="4" w:val="single"/>
              <w:bottom w:color="000000" w:sz="4" w:val="single"/>
              <w:right w:color="000000" w:sz="4" w:val="single"/>
            </w:tcBorders>
            <w:vAlign w:val="center"/>
          </w:tcPr>
          <w:p w14:paraId="B4000000">
            <w:pPr>
              <w:widowControl w:val="1"/>
              <w:ind/>
              <w:jc w:val="center"/>
              <w:rPr>
                <w:sz w:val="26"/>
              </w:rPr>
            </w:pPr>
            <w:r>
              <w:rPr>
                <w:sz w:val="26"/>
              </w:rPr>
              <w:t xml:space="preserve">Бюджетный эффект </w:t>
            </w:r>
          </w:p>
          <w:p w14:paraId="B5000000">
            <w:pPr>
              <w:widowControl w:val="1"/>
              <w:ind/>
              <w:jc w:val="center"/>
              <w:rPr>
                <w:sz w:val="26"/>
              </w:rPr>
            </w:pPr>
            <w:r>
              <w:rPr>
                <w:sz w:val="26"/>
              </w:rPr>
              <w:t xml:space="preserve">(целевые показатели), </w:t>
            </w:r>
          </w:p>
          <w:p w14:paraId="B6000000">
            <w:pPr>
              <w:widowControl w:val="1"/>
              <w:ind/>
              <w:jc w:val="center"/>
              <w:rPr>
                <w:sz w:val="26"/>
              </w:rPr>
            </w:pPr>
            <w:r>
              <w:rPr>
                <w:sz w:val="26"/>
              </w:rPr>
              <w:t>тыс рублей</w:t>
            </w:r>
          </w:p>
        </w:tc>
      </w:tr>
      <w:tr>
        <w:tc>
          <w:tcPr>
            <w:tcW w:type="dxa" w:w="993"/>
            <w:gridSpan w:val="1"/>
            <w:vMerge w:val="continue"/>
            <w:tcBorders>
              <w:top w:color="000000" w:sz="4" w:val="single"/>
              <w:left w:color="000000" w:sz="4" w:val="single"/>
              <w:bottom w:sz="4" w:val="nil"/>
              <w:right w:color="000000" w:sz="4" w:val="single"/>
            </w:tcBorders>
          </w:tcPr>
          <w:p/>
        </w:tc>
        <w:tc>
          <w:tcPr>
            <w:tcW w:type="dxa" w:w="4253"/>
            <w:gridSpan w:val="1"/>
            <w:vMerge w:val="continue"/>
            <w:tcBorders>
              <w:top w:color="000000" w:sz="4" w:val="single"/>
              <w:left w:color="000000" w:sz="4" w:val="single"/>
              <w:bottom w:sz="4" w:val="nil"/>
              <w:right w:color="000000" w:sz="4" w:val="single"/>
            </w:tcBorders>
            <w:vAlign w:val="center"/>
          </w:tcPr>
          <w:p/>
        </w:tc>
        <w:tc>
          <w:tcPr>
            <w:tcW w:type="dxa" w:w="4111"/>
            <w:gridSpan w:val="1"/>
            <w:vMerge w:val="continue"/>
            <w:tcBorders>
              <w:top w:color="000000" w:sz="4" w:val="single"/>
              <w:left w:color="000000" w:sz="4" w:val="single"/>
              <w:bottom w:sz="4" w:val="nil"/>
              <w:right w:color="000000" w:sz="4" w:val="single"/>
            </w:tcBorders>
            <w:vAlign w:val="center"/>
          </w:tcPr>
          <w:p/>
        </w:tc>
        <w:tc>
          <w:tcPr>
            <w:tcW w:type="dxa" w:w="1701"/>
            <w:gridSpan w:val="1"/>
            <w:vMerge w:val="continue"/>
            <w:tcBorders>
              <w:top w:color="000000" w:sz="4" w:val="single"/>
              <w:left w:color="000000" w:sz="4" w:val="single"/>
              <w:bottom w:sz="4" w:val="nil"/>
              <w:right w:color="000000" w:sz="4" w:val="single"/>
            </w:tcBorders>
            <w:vAlign w:val="center"/>
          </w:tcPr>
          <w:p/>
        </w:tc>
        <w:tc>
          <w:tcPr>
            <w:tcW w:type="dxa" w:w="1560"/>
            <w:tcBorders>
              <w:top w:color="000000" w:sz="4" w:val="single"/>
              <w:left w:color="000000" w:sz="4" w:val="single"/>
              <w:bottom w:sz="4" w:val="nil"/>
              <w:right w:color="000000" w:sz="4" w:val="single"/>
            </w:tcBorders>
            <w:vAlign w:val="center"/>
          </w:tcPr>
          <w:p w14:paraId="B7000000">
            <w:pPr>
              <w:widowControl w:val="1"/>
              <w:ind/>
              <w:jc w:val="center"/>
              <w:rPr>
                <w:sz w:val="26"/>
              </w:rPr>
            </w:pPr>
            <w:r>
              <w:rPr>
                <w:sz w:val="26"/>
              </w:rPr>
              <w:t>202</w:t>
            </w:r>
            <w:r>
              <w:rPr>
                <w:sz w:val="26"/>
              </w:rPr>
              <w:t>5</w:t>
            </w:r>
          </w:p>
          <w:p w14:paraId="B8000000">
            <w:pPr>
              <w:widowControl w:val="1"/>
              <w:ind/>
              <w:jc w:val="center"/>
              <w:rPr>
                <w:sz w:val="26"/>
              </w:rPr>
            </w:pPr>
            <w:r>
              <w:rPr>
                <w:sz w:val="26"/>
              </w:rPr>
              <w:t>год</w:t>
            </w:r>
          </w:p>
        </w:tc>
        <w:tc>
          <w:tcPr>
            <w:tcW w:type="dxa" w:w="1417"/>
            <w:tcBorders>
              <w:top w:color="000000" w:sz="4" w:val="single"/>
              <w:left w:color="000000" w:sz="4" w:val="single"/>
              <w:bottom w:sz="4" w:val="nil"/>
              <w:right w:color="000000" w:sz="4" w:val="single"/>
            </w:tcBorders>
            <w:vAlign w:val="center"/>
          </w:tcPr>
          <w:p w14:paraId="B9000000">
            <w:pPr>
              <w:widowControl w:val="1"/>
              <w:ind/>
              <w:jc w:val="center"/>
              <w:rPr>
                <w:sz w:val="26"/>
              </w:rPr>
            </w:pPr>
            <w:r>
              <w:rPr>
                <w:sz w:val="26"/>
              </w:rPr>
              <w:t>202</w:t>
            </w:r>
            <w:r>
              <w:rPr>
                <w:sz w:val="26"/>
              </w:rPr>
              <w:t>6</w:t>
            </w:r>
          </w:p>
          <w:p w14:paraId="BA000000">
            <w:pPr>
              <w:widowControl w:val="1"/>
              <w:ind/>
              <w:jc w:val="center"/>
              <w:rPr>
                <w:sz w:val="26"/>
              </w:rPr>
            </w:pPr>
            <w:r>
              <w:rPr>
                <w:sz w:val="26"/>
              </w:rPr>
              <w:t>год</w:t>
            </w:r>
          </w:p>
        </w:tc>
        <w:tc>
          <w:tcPr>
            <w:tcW w:type="dxa" w:w="1418"/>
            <w:tcBorders>
              <w:top w:color="000000" w:sz="4" w:val="single"/>
              <w:left w:color="000000" w:sz="4" w:val="single"/>
              <w:bottom w:sz="4" w:val="nil"/>
              <w:right w:color="000000" w:sz="4" w:val="single"/>
            </w:tcBorders>
            <w:vAlign w:val="center"/>
          </w:tcPr>
          <w:p w14:paraId="BB000000">
            <w:pPr>
              <w:widowControl w:val="1"/>
              <w:ind/>
              <w:jc w:val="center"/>
              <w:rPr>
                <w:sz w:val="26"/>
              </w:rPr>
            </w:pPr>
            <w:r>
              <w:rPr>
                <w:sz w:val="26"/>
              </w:rPr>
              <w:t>202</w:t>
            </w:r>
            <w:r>
              <w:rPr>
                <w:sz w:val="26"/>
              </w:rPr>
              <w:t>7</w:t>
            </w:r>
          </w:p>
          <w:p w14:paraId="BC000000">
            <w:pPr>
              <w:widowControl w:val="1"/>
              <w:ind/>
              <w:jc w:val="center"/>
              <w:rPr>
                <w:sz w:val="26"/>
              </w:rPr>
            </w:pPr>
            <w:r>
              <w:rPr>
                <w:sz w:val="26"/>
              </w:rPr>
              <w:t>год</w:t>
            </w:r>
          </w:p>
        </w:tc>
      </w:tr>
    </w:tbl>
    <w:p w14:paraId="BD000000">
      <w:pPr>
        <w:widowControl w:val="1"/>
        <w:spacing w:line="12" w:lineRule="auto"/>
        <w:ind/>
        <w:rPr>
          <w:sz w:val="2"/>
        </w:rPr>
      </w:pPr>
    </w:p>
    <w:tbl>
      <w:tblPr>
        <w:tblStyle w:val="Style_4"/>
        <w:tblW w:type="auto" w:w="0"/>
        <w:tblInd w:type="dxa" w:w="-3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96"/>
        <w:gridCol w:w="9"/>
        <w:gridCol w:w="4241"/>
        <w:gridCol w:w="4111"/>
        <w:gridCol w:w="1701"/>
        <w:gridCol w:w="1559"/>
        <w:gridCol w:w="1417"/>
        <w:gridCol w:w="1418"/>
      </w:tblGrid>
      <w:tr>
        <w:trPr>
          <w:tblHeader/>
        </w:trPr>
        <w:tc>
          <w:tcPr>
            <w:tcW w:type="dxa" w:w="996"/>
            <w:tcBorders>
              <w:top w:color="000000" w:sz="4" w:val="single"/>
              <w:left w:color="000000" w:sz="4" w:val="single"/>
              <w:bottom w:color="000000" w:sz="4" w:val="single"/>
              <w:right w:color="000000" w:sz="4" w:val="single"/>
            </w:tcBorders>
          </w:tcPr>
          <w:p w14:paraId="BE000000">
            <w:pPr>
              <w:widowControl w:val="1"/>
              <w:ind/>
              <w:jc w:val="center"/>
              <w:rPr>
                <w:sz w:val="24"/>
              </w:rPr>
            </w:pPr>
            <w:r>
              <w:rPr>
                <w:sz w:val="24"/>
              </w:rPr>
              <w:t>1</w:t>
            </w:r>
          </w:p>
        </w:tc>
        <w:tc>
          <w:tcPr>
            <w:tcW w:type="dxa" w:w="4250"/>
            <w:gridSpan w:val="2"/>
            <w:tcBorders>
              <w:top w:color="000000" w:sz="4" w:val="single"/>
              <w:left w:color="000000" w:sz="4" w:val="single"/>
              <w:bottom w:color="000000" w:sz="4" w:val="single"/>
              <w:right w:color="000000" w:sz="4" w:val="single"/>
            </w:tcBorders>
          </w:tcPr>
          <w:p w14:paraId="BF000000">
            <w:pPr>
              <w:widowControl w:val="1"/>
              <w:ind/>
              <w:jc w:val="center"/>
              <w:rPr>
                <w:sz w:val="24"/>
              </w:rPr>
            </w:pPr>
            <w:r>
              <w:rPr>
                <w:sz w:val="24"/>
              </w:rPr>
              <w:t>2</w:t>
            </w:r>
          </w:p>
        </w:tc>
        <w:tc>
          <w:tcPr>
            <w:tcW w:type="dxa" w:w="4111"/>
            <w:tcBorders>
              <w:top w:color="000000" w:sz="4" w:val="single"/>
              <w:left w:color="000000" w:sz="4" w:val="single"/>
              <w:bottom w:color="000000" w:sz="4" w:val="single"/>
              <w:right w:color="000000" w:sz="4" w:val="single"/>
            </w:tcBorders>
          </w:tcPr>
          <w:p w14:paraId="C0000000">
            <w:pPr>
              <w:widowControl w:val="1"/>
              <w:ind/>
              <w:jc w:val="center"/>
              <w:rPr>
                <w:sz w:val="24"/>
              </w:rPr>
            </w:pPr>
            <w:r>
              <w:rPr>
                <w:sz w:val="24"/>
              </w:rPr>
              <w:t>3</w:t>
            </w:r>
          </w:p>
        </w:tc>
        <w:tc>
          <w:tcPr>
            <w:tcW w:type="dxa" w:w="1701"/>
            <w:tcBorders>
              <w:top w:color="000000" w:sz="4" w:val="single"/>
              <w:left w:color="000000" w:sz="4" w:val="single"/>
              <w:bottom w:color="000000" w:sz="4" w:val="single"/>
              <w:right w:color="000000" w:sz="4" w:val="single"/>
            </w:tcBorders>
          </w:tcPr>
          <w:p w14:paraId="C1000000">
            <w:pPr>
              <w:widowControl w:val="1"/>
              <w:ind/>
              <w:jc w:val="center"/>
              <w:rPr>
                <w:sz w:val="24"/>
              </w:rPr>
            </w:pPr>
            <w:r>
              <w:rPr>
                <w:sz w:val="24"/>
              </w:rPr>
              <w:t>4</w:t>
            </w:r>
          </w:p>
        </w:tc>
        <w:tc>
          <w:tcPr>
            <w:tcW w:type="dxa" w:w="1559"/>
            <w:tcBorders>
              <w:top w:color="000000" w:sz="4" w:val="single"/>
              <w:left w:color="000000" w:sz="4" w:val="single"/>
              <w:bottom w:color="000000" w:sz="4" w:val="single"/>
              <w:right w:color="000000" w:sz="4" w:val="single"/>
            </w:tcBorders>
          </w:tcPr>
          <w:p w14:paraId="C2000000">
            <w:pPr>
              <w:widowControl w:val="1"/>
              <w:ind/>
              <w:jc w:val="center"/>
              <w:rPr>
                <w:sz w:val="24"/>
              </w:rPr>
            </w:pPr>
            <w:r>
              <w:rPr>
                <w:sz w:val="24"/>
              </w:rPr>
              <w:t>5</w:t>
            </w:r>
          </w:p>
        </w:tc>
        <w:tc>
          <w:tcPr>
            <w:tcW w:type="dxa" w:w="1417"/>
            <w:tcBorders>
              <w:top w:color="000000" w:sz="4" w:val="single"/>
              <w:left w:color="000000" w:sz="4" w:val="single"/>
              <w:bottom w:color="000000" w:sz="4" w:val="single"/>
              <w:right w:color="000000" w:sz="4" w:val="single"/>
            </w:tcBorders>
          </w:tcPr>
          <w:p w14:paraId="C3000000">
            <w:pPr>
              <w:widowControl w:val="1"/>
              <w:ind/>
              <w:jc w:val="center"/>
              <w:rPr>
                <w:sz w:val="24"/>
              </w:rPr>
            </w:pPr>
            <w:r>
              <w:rPr>
                <w:sz w:val="24"/>
              </w:rPr>
              <w:t>6</w:t>
            </w:r>
          </w:p>
        </w:tc>
        <w:tc>
          <w:tcPr>
            <w:tcW w:type="dxa" w:w="1418"/>
            <w:tcBorders>
              <w:top w:color="000000" w:sz="4" w:val="single"/>
              <w:left w:color="000000" w:sz="4" w:val="single"/>
              <w:bottom w:color="000000" w:sz="4" w:val="single"/>
              <w:right w:color="000000" w:sz="4" w:val="single"/>
            </w:tcBorders>
          </w:tcPr>
          <w:p w14:paraId="C4000000">
            <w:pPr>
              <w:widowControl w:val="1"/>
              <w:ind/>
              <w:jc w:val="center"/>
              <w:rPr>
                <w:sz w:val="24"/>
              </w:rPr>
            </w:pPr>
            <w:r>
              <w:rPr>
                <w:sz w:val="24"/>
              </w:rPr>
              <w:t>7</w:t>
            </w:r>
          </w:p>
        </w:tc>
      </w:tr>
      <w:tr>
        <w:tc>
          <w:tcPr>
            <w:tcW w:type="dxa" w:w="996"/>
            <w:tcBorders>
              <w:top w:color="000000" w:sz="4" w:val="single"/>
              <w:left w:color="000000" w:sz="4" w:val="single"/>
              <w:bottom w:color="000000" w:sz="4" w:val="single"/>
              <w:right w:color="000000" w:sz="4" w:val="single"/>
            </w:tcBorders>
          </w:tcPr>
          <w:p w14:paraId="C5000000">
            <w:pPr>
              <w:widowControl w:val="1"/>
              <w:ind/>
              <w:jc w:val="center"/>
              <w:rPr>
                <w:sz w:val="24"/>
              </w:rPr>
            </w:pPr>
            <w:r>
              <w:rPr>
                <w:sz w:val="24"/>
              </w:rPr>
              <w:t>1</w:t>
            </w:r>
          </w:p>
        </w:tc>
        <w:tc>
          <w:tcPr>
            <w:tcW w:type="dxa" w:w="4250"/>
            <w:gridSpan w:val="2"/>
            <w:tcBorders>
              <w:top w:color="000000" w:sz="4" w:val="single"/>
              <w:left w:color="000000" w:sz="4" w:val="single"/>
              <w:bottom w:color="000000" w:sz="4" w:val="single"/>
              <w:right w:color="000000" w:sz="4" w:val="single"/>
            </w:tcBorders>
          </w:tcPr>
          <w:p w14:paraId="C6000000">
            <w:pPr>
              <w:rPr>
                <w:sz w:val="24"/>
              </w:rPr>
            </w:pPr>
            <w:r>
              <w:rPr>
                <w:sz w:val="24"/>
              </w:rPr>
              <w:t>Мероприятия по повышению доходной базы бюджета Крапивинского муниципального округа</w:t>
            </w:r>
          </w:p>
        </w:tc>
        <w:tc>
          <w:tcPr>
            <w:tcW w:type="dxa" w:w="4111"/>
            <w:tcBorders>
              <w:top w:color="000000" w:sz="4" w:val="single"/>
              <w:left w:color="000000" w:sz="4" w:val="single"/>
              <w:bottom w:color="000000" w:sz="4" w:val="single"/>
              <w:right w:color="000000" w:sz="4" w:val="single"/>
            </w:tcBorders>
          </w:tcPr>
          <w:p w14:paraId="C7000000">
            <w:pPr>
              <w:widowControl w:val="1"/>
              <w:ind/>
              <w:jc w:val="center"/>
              <w:rPr>
                <w:sz w:val="24"/>
              </w:rPr>
            </w:pPr>
          </w:p>
        </w:tc>
        <w:tc>
          <w:tcPr>
            <w:tcW w:type="dxa" w:w="1701"/>
            <w:tcBorders>
              <w:top w:color="000000" w:sz="4" w:val="single"/>
              <w:left w:color="000000" w:sz="4" w:val="single"/>
              <w:bottom w:color="000000" w:sz="4" w:val="single"/>
              <w:right w:color="000000" w:sz="4" w:val="single"/>
            </w:tcBorders>
          </w:tcPr>
          <w:p w14:paraId="C800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C9000000">
            <w:pPr>
              <w:widowControl w:val="1"/>
              <w:ind/>
              <w:jc w:val="center"/>
              <w:rPr>
                <w:sz w:val="24"/>
              </w:rPr>
            </w:pPr>
          </w:p>
        </w:tc>
        <w:tc>
          <w:tcPr>
            <w:tcW w:type="dxa" w:w="1417"/>
            <w:tcBorders>
              <w:top w:color="000000" w:sz="4" w:val="single"/>
              <w:left w:color="000000" w:sz="4" w:val="single"/>
              <w:bottom w:color="000000" w:sz="4" w:val="single"/>
              <w:right w:color="000000" w:sz="4" w:val="single"/>
            </w:tcBorders>
          </w:tcPr>
          <w:p w14:paraId="CA000000">
            <w:pPr>
              <w:widowControl w:val="1"/>
              <w:ind/>
              <w:jc w:val="center"/>
              <w:rPr>
                <w:sz w:val="24"/>
              </w:rPr>
            </w:pPr>
          </w:p>
        </w:tc>
        <w:tc>
          <w:tcPr>
            <w:tcW w:type="dxa" w:w="1418"/>
            <w:tcBorders>
              <w:top w:color="000000" w:sz="4" w:val="single"/>
              <w:left w:color="000000" w:sz="4" w:val="single"/>
              <w:bottom w:color="000000" w:sz="4" w:val="single"/>
              <w:right w:color="000000" w:sz="4" w:val="single"/>
            </w:tcBorders>
          </w:tcPr>
          <w:p w14:paraId="CB000000">
            <w:pPr>
              <w:widowControl w:val="1"/>
              <w:ind/>
              <w:jc w:val="center"/>
              <w:rPr>
                <w:sz w:val="24"/>
              </w:rPr>
            </w:pPr>
          </w:p>
        </w:tc>
      </w:tr>
      <w:tr>
        <w:tc>
          <w:tcPr>
            <w:tcW w:type="dxa" w:w="996"/>
            <w:tcBorders>
              <w:top w:color="000000" w:sz="4" w:val="single"/>
              <w:left w:color="000000" w:sz="4" w:val="single"/>
              <w:bottom w:color="000000" w:sz="4" w:val="single"/>
              <w:right w:color="000000" w:sz="4" w:val="single"/>
            </w:tcBorders>
          </w:tcPr>
          <w:p w14:paraId="CC000000">
            <w:pPr>
              <w:widowControl w:val="1"/>
              <w:ind/>
              <w:jc w:val="center"/>
              <w:rPr>
                <w:sz w:val="24"/>
              </w:rPr>
            </w:pPr>
            <w:r>
              <w:rPr>
                <w:sz w:val="24"/>
              </w:rPr>
              <w:t>1.1</w:t>
            </w:r>
          </w:p>
        </w:tc>
        <w:tc>
          <w:tcPr>
            <w:tcW w:type="dxa" w:w="4250"/>
            <w:gridSpan w:val="2"/>
            <w:tcBorders>
              <w:top w:color="000000" w:sz="4" w:val="single"/>
              <w:left w:color="000000" w:sz="4" w:val="single"/>
              <w:bottom w:color="000000" w:sz="4" w:val="single"/>
              <w:right w:color="000000" w:sz="4" w:val="single"/>
            </w:tcBorders>
          </w:tcPr>
          <w:p w14:paraId="CD000000">
            <w:pPr>
              <w:rPr>
                <w:sz w:val="24"/>
              </w:rPr>
            </w:pPr>
            <w:r>
              <w:rPr>
                <w:sz w:val="24"/>
              </w:rPr>
              <w:t>Проведение мероприятий по определению (уточнению) характеристик объектов недвижимого имущества с целью их вовлечения в налоговый оборот, в том числе</w:t>
            </w:r>
          </w:p>
        </w:tc>
        <w:tc>
          <w:tcPr>
            <w:tcW w:type="dxa" w:w="4111"/>
            <w:tcBorders>
              <w:top w:color="000000" w:sz="4" w:val="single"/>
              <w:left w:color="000000" w:sz="4" w:val="single"/>
              <w:bottom w:color="000000" w:sz="4" w:val="single"/>
              <w:right w:color="000000" w:sz="4" w:val="single"/>
            </w:tcBorders>
          </w:tcPr>
          <w:p w14:paraId="CE000000">
            <w:pPr>
              <w:rPr>
                <w:sz w:val="24"/>
              </w:rPr>
            </w:pPr>
            <w:r>
              <w:rPr>
                <w:sz w:val="24"/>
              </w:rPr>
              <w:t>Комитет по управлению муниципальным имуществом администрации Крапивинского муниципального округа;</w:t>
            </w:r>
          </w:p>
          <w:p w14:paraId="CF000000">
            <w:pPr>
              <w:rPr>
                <w:sz w:val="24"/>
              </w:rPr>
            </w:pPr>
            <w:r>
              <w:rPr>
                <w:sz w:val="24"/>
              </w:rPr>
              <w:t>Отдел архитектуры и градостроительства администрации Крапивинского муниципального округа;</w:t>
            </w:r>
          </w:p>
          <w:p w14:paraId="D0000000">
            <w:pPr>
              <w:rPr>
                <w:sz w:val="24"/>
              </w:rPr>
            </w:pPr>
            <w:r>
              <w:rPr>
                <w:sz w:val="24"/>
              </w:rPr>
              <w:t>МКУ «Территоральное управление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D1000000">
            <w:pPr>
              <w:widowControl w:val="1"/>
              <w:ind/>
              <w:jc w:val="center"/>
              <w:rPr>
                <w:sz w:val="24"/>
              </w:rPr>
            </w:pPr>
            <w:r>
              <w:rPr>
                <w:sz w:val="24"/>
              </w:rPr>
              <w:t>202</w:t>
            </w:r>
            <w:r>
              <w:rPr>
                <w:sz w:val="24"/>
              </w:rPr>
              <w:t>5</w:t>
            </w:r>
            <w:r>
              <w:rPr>
                <w:sz w:val="24"/>
              </w:rPr>
              <w:t>–</w:t>
            </w:r>
          </w:p>
          <w:p w14:paraId="D200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D3000000">
            <w:pPr>
              <w:widowControl w:val="1"/>
              <w:ind/>
              <w:jc w:val="center"/>
              <w:rPr>
                <w:sz w:val="24"/>
              </w:rPr>
            </w:pPr>
            <w:r>
              <w:rPr>
                <w:sz w:val="24"/>
              </w:rPr>
              <w:t>3</w:t>
            </w:r>
            <w:r>
              <w:rPr>
                <w:sz w:val="24"/>
              </w:rPr>
              <w:t>0,0</w:t>
            </w:r>
          </w:p>
        </w:tc>
        <w:tc>
          <w:tcPr>
            <w:tcW w:type="dxa" w:w="1417"/>
            <w:tcBorders>
              <w:top w:color="000000" w:sz="4" w:val="single"/>
              <w:left w:color="000000" w:sz="4" w:val="single"/>
              <w:bottom w:color="000000" w:sz="4" w:val="single"/>
              <w:right w:color="000000" w:sz="4" w:val="single"/>
            </w:tcBorders>
          </w:tcPr>
          <w:p w14:paraId="D4000000">
            <w:pPr>
              <w:widowControl w:val="1"/>
              <w:ind/>
              <w:jc w:val="center"/>
              <w:rPr>
                <w:sz w:val="24"/>
              </w:rPr>
            </w:pPr>
            <w:r>
              <w:rPr>
                <w:sz w:val="24"/>
              </w:rPr>
              <w:t>3</w:t>
            </w:r>
            <w:r>
              <w:rPr>
                <w:sz w:val="24"/>
              </w:rPr>
              <w:t>0,0</w:t>
            </w:r>
          </w:p>
        </w:tc>
        <w:tc>
          <w:tcPr>
            <w:tcW w:type="dxa" w:w="1418"/>
            <w:tcBorders>
              <w:top w:color="000000" w:sz="4" w:val="single"/>
              <w:left w:color="000000" w:sz="4" w:val="single"/>
              <w:bottom w:color="000000" w:sz="4" w:val="single"/>
              <w:right w:color="000000" w:sz="4" w:val="single"/>
            </w:tcBorders>
          </w:tcPr>
          <w:p w14:paraId="D5000000">
            <w:pPr>
              <w:widowControl w:val="1"/>
              <w:ind/>
              <w:jc w:val="center"/>
              <w:rPr>
                <w:sz w:val="24"/>
              </w:rPr>
            </w:pPr>
            <w:r>
              <w:rPr>
                <w:sz w:val="24"/>
              </w:rPr>
              <w:t>3</w:t>
            </w:r>
            <w:r>
              <w:rPr>
                <w:sz w:val="24"/>
              </w:rPr>
              <w:t>0,0</w:t>
            </w:r>
          </w:p>
        </w:tc>
      </w:tr>
      <w:tr>
        <w:tc>
          <w:tcPr>
            <w:tcW w:type="dxa" w:w="996"/>
            <w:tcBorders>
              <w:top w:color="000000" w:sz="4" w:val="single"/>
              <w:left w:color="000000" w:sz="4" w:val="single"/>
              <w:bottom w:color="000000" w:sz="4" w:val="single"/>
              <w:right w:color="000000" w:sz="4" w:val="single"/>
            </w:tcBorders>
          </w:tcPr>
          <w:p w14:paraId="D6000000">
            <w:pPr>
              <w:widowControl w:val="1"/>
              <w:ind/>
              <w:jc w:val="center"/>
              <w:rPr>
                <w:sz w:val="24"/>
              </w:rPr>
            </w:pPr>
            <w:r>
              <w:rPr>
                <w:sz w:val="24"/>
              </w:rPr>
              <w:t>1.1.1</w:t>
            </w:r>
          </w:p>
        </w:tc>
        <w:tc>
          <w:tcPr>
            <w:tcW w:type="dxa" w:w="4250"/>
            <w:gridSpan w:val="2"/>
            <w:tcBorders>
              <w:top w:color="000000" w:sz="4" w:val="single"/>
              <w:left w:color="000000" w:sz="4" w:val="single"/>
              <w:bottom w:color="000000" w:sz="4" w:val="single"/>
              <w:right w:color="000000" w:sz="4" w:val="single"/>
            </w:tcBorders>
          </w:tcPr>
          <w:p w14:paraId="D7000000">
            <w:pPr>
              <w:rPr>
                <w:sz w:val="24"/>
              </w:rPr>
            </w:pPr>
            <w:r>
              <w:rPr>
                <w:sz w:val="24"/>
              </w:rPr>
              <w:t>Выявление правообладателей объектов недвижимости, в том числе ранее учтенных при отсутствии сведений в Едином государственном реестре недвижимости,  привлечение к регистрации прав новых собственников после смерти правообладателей</w:t>
            </w:r>
          </w:p>
        </w:tc>
        <w:tc>
          <w:tcPr>
            <w:tcW w:type="dxa" w:w="4111"/>
            <w:tcBorders>
              <w:top w:color="000000" w:sz="4" w:val="single"/>
              <w:left w:color="000000" w:sz="4" w:val="single"/>
              <w:bottom w:color="000000" w:sz="4" w:val="single"/>
              <w:right w:color="000000" w:sz="4" w:val="single"/>
            </w:tcBorders>
          </w:tcPr>
          <w:p w14:paraId="D8000000">
            <w:pPr>
              <w:rPr>
                <w:sz w:val="24"/>
              </w:rPr>
            </w:pPr>
            <w:r>
              <w:rPr>
                <w:sz w:val="24"/>
              </w:rPr>
              <w:t>Комитет по управлению муниципальным имуществом администрации Крапивинского муниципального округа;</w:t>
            </w:r>
          </w:p>
          <w:p w14:paraId="D9000000">
            <w:pPr>
              <w:rPr>
                <w:sz w:val="24"/>
              </w:rPr>
            </w:pPr>
            <w:r>
              <w:rPr>
                <w:sz w:val="24"/>
              </w:rPr>
              <w:t>Отдел архитектуры и градостроительства администрации Крапивинского муниципального округа;</w:t>
            </w:r>
          </w:p>
          <w:p w14:paraId="DA000000">
            <w:pPr>
              <w:rPr>
                <w:sz w:val="24"/>
              </w:rPr>
            </w:pPr>
            <w:r>
              <w:rPr>
                <w:sz w:val="24"/>
              </w:rPr>
              <w:t>МКУ «Территоральное управлением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DB000000">
            <w:pPr>
              <w:widowControl w:val="1"/>
              <w:ind/>
              <w:jc w:val="center"/>
              <w:rPr>
                <w:sz w:val="24"/>
              </w:rPr>
            </w:pPr>
            <w:r>
              <w:rPr>
                <w:sz w:val="24"/>
              </w:rPr>
              <w:t>202</w:t>
            </w:r>
            <w:r>
              <w:rPr>
                <w:sz w:val="24"/>
              </w:rPr>
              <w:t>5</w:t>
            </w:r>
            <w:r>
              <w:rPr>
                <w:sz w:val="24"/>
              </w:rPr>
              <w:t>–</w:t>
            </w:r>
          </w:p>
          <w:p w14:paraId="DC00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DD00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DE00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DF00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E0000000">
            <w:pPr>
              <w:widowControl w:val="1"/>
              <w:ind/>
              <w:jc w:val="center"/>
              <w:rPr>
                <w:sz w:val="24"/>
              </w:rPr>
            </w:pPr>
            <w:r>
              <w:rPr>
                <w:sz w:val="24"/>
              </w:rPr>
              <w:t>1.2</w:t>
            </w:r>
          </w:p>
        </w:tc>
        <w:tc>
          <w:tcPr>
            <w:tcW w:type="dxa" w:w="4250"/>
            <w:gridSpan w:val="2"/>
            <w:tcBorders>
              <w:top w:color="000000" w:sz="4" w:val="single"/>
              <w:left w:color="000000" w:sz="4" w:val="single"/>
              <w:bottom w:color="000000" w:sz="4" w:val="single"/>
              <w:right w:color="000000" w:sz="4" w:val="single"/>
            </w:tcBorders>
          </w:tcPr>
          <w:p w14:paraId="E1000000">
            <w:pPr>
              <w:rPr>
                <w:sz w:val="24"/>
              </w:rPr>
            </w:pPr>
            <w:r>
              <w:rPr>
                <w:sz w:val="24"/>
              </w:rPr>
              <w:t>Принятие мер по регистрации прав собственности в отношении объектов недвижимого имущества участников долевого строительства, а также жилых домов, квартир, иных объектов недвижимости и объектов незавершенного строительства, введенных в эксплуатацию, сведения о регистрации прав по которым отсутствуют в Едином государственном реестре недвижимости</w:t>
            </w:r>
          </w:p>
        </w:tc>
        <w:tc>
          <w:tcPr>
            <w:tcW w:type="dxa" w:w="4111"/>
            <w:tcBorders>
              <w:top w:color="000000" w:sz="4" w:val="single"/>
              <w:left w:color="000000" w:sz="4" w:val="single"/>
              <w:bottom w:color="000000" w:sz="4" w:val="single"/>
              <w:right w:color="000000" w:sz="4" w:val="single"/>
            </w:tcBorders>
          </w:tcPr>
          <w:p w14:paraId="E2000000">
            <w:pPr>
              <w:rPr>
                <w:sz w:val="24"/>
              </w:rPr>
            </w:pPr>
            <w:r>
              <w:rPr>
                <w:sz w:val="24"/>
              </w:rPr>
              <w:t>Комитет по управлению муниципальным имуществом администрации Крапивинского муниципального округа;</w:t>
            </w:r>
          </w:p>
          <w:p w14:paraId="E3000000">
            <w:pPr>
              <w:rPr>
                <w:sz w:val="24"/>
              </w:rPr>
            </w:pPr>
            <w:r>
              <w:rPr>
                <w:sz w:val="24"/>
              </w:rPr>
              <w:t>Отдел архитектуры и градостроительства администрации Крапивинского муниципального округа;</w:t>
            </w:r>
          </w:p>
          <w:p w14:paraId="E4000000">
            <w:pPr>
              <w:rPr>
                <w:sz w:val="24"/>
              </w:rPr>
            </w:pPr>
            <w:r>
              <w:rPr>
                <w:sz w:val="24"/>
              </w:rPr>
              <w:t>МКУ «Территоральное управлением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E5000000">
            <w:pPr>
              <w:widowControl w:val="1"/>
              <w:ind/>
              <w:jc w:val="center"/>
              <w:rPr>
                <w:sz w:val="24"/>
              </w:rPr>
            </w:pPr>
            <w:r>
              <w:rPr>
                <w:sz w:val="24"/>
              </w:rPr>
              <w:t>202</w:t>
            </w:r>
            <w:r>
              <w:rPr>
                <w:sz w:val="24"/>
              </w:rPr>
              <w:t>5</w:t>
            </w:r>
            <w:r>
              <w:rPr>
                <w:sz w:val="24"/>
              </w:rPr>
              <w:t>–</w:t>
            </w:r>
          </w:p>
          <w:p w14:paraId="E600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E7000000">
            <w:pPr>
              <w:widowControl w:val="1"/>
              <w:ind/>
              <w:jc w:val="center"/>
              <w:rPr>
                <w:sz w:val="24"/>
              </w:rPr>
            </w:pPr>
            <w:r>
              <w:rPr>
                <w:sz w:val="24"/>
              </w:rPr>
              <w:t>5,0</w:t>
            </w:r>
          </w:p>
        </w:tc>
        <w:tc>
          <w:tcPr>
            <w:tcW w:type="dxa" w:w="1417"/>
            <w:tcBorders>
              <w:top w:color="000000" w:sz="4" w:val="single"/>
              <w:left w:color="000000" w:sz="4" w:val="single"/>
              <w:bottom w:color="000000" w:sz="4" w:val="single"/>
              <w:right w:color="000000" w:sz="4" w:val="single"/>
            </w:tcBorders>
          </w:tcPr>
          <w:p w14:paraId="E8000000">
            <w:pPr>
              <w:widowControl w:val="1"/>
              <w:ind/>
              <w:jc w:val="center"/>
              <w:rPr>
                <w:sz w:val="24"/>
              </w:rPr>
            </w:pPr>
            <w:r>
              <w:rPr>
                <w:sz w:val="24"/>
              </w:rPr>
              <w:t>5,0</w:t>
            </w:r>
          </w:p>
        </w:tc>
        <w:tc>
          <w:tcPr>
            <w:tcW w:type="dxa" w:w="1418"/>
            <w:tcBorders>
              <w:top w:color="000000" w:sz="4" w:val="single"/>
              <w:left w:color="000000" w:sz="4" w:val="single"/>
              <w:bottom w:color="000000" w:sz="4" w:val="single"/>
              <w:right w:color="000000" w:sz="4" w:val="single"/>
            </w:tcBorders>
          </w:tcPr>
          <w:p w14:paraId="E9000000">
            <w:pPr>
              <w:widowControl w:val="1"/>
              <w:ind/>
              <w:jc w:val="center"/>
              <w:rPr>
                <w:sz w:val="24"/>
              </w:rPr>
            </w:pPr>
            <w:r>
              <w:rPr>
                <w:sz w:val="24"/>
              </w:rPr>
              <w:t>5,0</w:t>
            </w:r>
          </w:p>
        </w:tc>
      </w:tr>
      <w:tr>
        <w:tc>
          <w:tcPr>
            <w:tcW w:type="dxa" w:w="996"/>
            <w:tcBorders>
              <w:top w:color="000000" w:sz="4" w:val="single"/>
              <w:left w:color="000000" w:sz="4" w:val="single"/>
              <w:bottom w:color="000000" w:sz="4" w:val="single"/>
              <w:right w:color="000000" w:sz="4" w:val="single"/>
            </w:tcBorders>
          </w:tcPr>
          <w:p w14:paraId="EA000000">
            <w:pPr>
              <w:widowControl w:val="1"/>
              <w:ind/>
              <w:jc w:val="center"/>
              <w:rPr>
                <w:sz w:val="24"/>
              </w:rPr>
            </w:pPr>
            <w:r>
              <w:rPr>
                <w:sz w:val="24"/>
              </w:rPr>
              <w:t>1.3</w:t>
            </w:r>
          </w:p>
        </w:tc>
        <w:tc>
          <w:tcPr>
            <w:tcW w:type="dxa" w:w="4250"/>
            <w:gridSpan w:val="2"/>
            <w:tcBorders>
              <w:top w:color="000000" w:sz="4" w:val="single"/>
              <w:left w:color="000000" w:sz="4" w:val="single"/>
              <w:bottom w:color="000000" w:sz="4" w:val="single"/>
              <w:right w:color="000000" w:sz="4" w:val="single"/>
            </w:tcBorders>
          </w:tcPr>
          <w:p w14:paraId="EB000000">
            <w:pPr>
              <w:rPr>
                <w:strike w:val="1"/>
                <w:sz w:val="24"/>
              </w:rPr>
            </w:pPr>
            <w:r>
              <w:rPr>
                <w:sz w:val="24"/>
              </w:rPr>
              <w:t>Реализация органами местного самоуправления полномочий по регулированию налоговой нагрузки по местным налогам</w:t>
            </w:r>
          </w:p>
        </w:tc>
        <w:tc>
          <w:tcPr>
            <w:tcW w:type="dxa" w:w="4111"/>
            <w:tcBorders>
              <w:top w:color="000000" w:sz="4" w:val="single"/>
              <w:left w:color="000000" w:sz="4" w:val="single"/>
              <w:bottom w:color="000000" w:sz="4" w:val="single"/>
              <w:right w:color="000000" w:sz="4" w:val="single"/>
            </w:tcBorders>
          </w:tcPr>
          <w:p w14:paraId="EC000000">
            <w:pPr>
              <w:rPr>
                <w:sz w:val="24"/>
              </w:rPr>
            </w:pPr>
            <w:r>
              <w:rPr>
                <w:sz w:val="24"/>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ED000000">
            <w:pPr>
              <w:widowControl w:val="1"/>
              <w:ind/>
              <w:jc w:val="center"/>
              <w:rPr>
                <w:sz w:val="24"/>
              </w:rPr>
            </w:pPr>
            <w:r>
              <w:rPr>
                <w:sz w:val="24"/>
              </w:rPr>
              <w:t>202</w:t>
            </w:r>
            <w:r>
              <w:rPr>
                <w:sz w:val="24"/>
              </w:rPr>
              <w:t>5</w:t>
            </w:r>
            <w:r>
              <w:rPr>
                <w:sz w:val="24"/>
              </w:rPr>
              <w:t>–</w:t>
            </w:r>
          </w:p>
          <w:p w14:paraId="EE00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EF00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F000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F100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F2000000">
            <w:pPr>
              <w:widowControl w:val="1"/>
              <w:ind/>
              <w:jc w:val="center"/>
              <w:rPr>
                <w:sz w:val="24"/>
              </w:rPr>
            </w:pPr>
            <w:r>
              <w:rPr>
                <w:sz w:val="24"/>
              </w:rPr>
              <w:t>2</w:t>
            </w:r>
          </w:p>
        </w:tc>
        <w:tc>
          <w:tcPr>
            <w:tcW w:type="dxa" w:w="4250"/>
            <w:gridSpan w:val="2"/>
            <w:tcBorders>
              <w:top w:color="000000" w:sz="4" w:val="single"/>
              <w:left w:color="000000" w:sz="4" w:val="single"/>
              <w:bottom w:color="000000" w:sz="4" w:val="single"/>
              <w:right w:color="000000" w:sz="4" w:val="single"/>
            </w:tcBorders>
          </w:tcPr>
          <w:p w14:paraId="F3000000">
            <w:pPr>
              <w:rPr>
                <w:sz w:val="24"/>
              </w:rPr>
            </w:pPr>
            <w:r>
              <w:rPr>
                <w:sz w:val="24"/>
              </w:rPr>
              <w:t>Повышение эффективности налоговых расходов бюджета Крапивинского муниципального округа</w:t>
            </w:r>
          </w:p>
        </w:tc>
        <w:tc>
          <w:tcPr>
            <w:tcW w:type="dxa" w:w="4111"/>
            <w:tcBorders>
              <w:top w:color="000000" w:sz="4" w:val="single"/>
              <w:left w:color="000000" w:sz="4" w:val="single"/>
              <w:bottom w:color="000000" w:sz="4" w:val="single"/>
              <w:right w:color="000000" w:sz="4" w:val="single"/>
            </w:tcBorders>
          </w:tcPr>
          <w:p w14:paraId="F4000000">
            <w:pPr>
              <w:widowControl w:val="1"/>
              <w:ind/>
              <w:jc w:val="center"/>
              <w:rPr>
                <w:sz w:val="24"/>
              </w:rPr>
            </w:pPr>
          </w:p>
        </w:tc>
        <w:tc>
          <w:tcPr>
            <w:tcW w:type="dxa" w:w="1701"/>
            <w:tcBorders>
              <w:top w:color="000000" w:sz="4" w:val="single"/>
              <w:left w:color="000000" w:sz="4" w:val="single"/>
              <w:bottom w:color="000000" w:sz="4" w:val="single"/>
              <w:right w:color="000000" w:sz="4" w:val="single"/>
            </w:tcBorders>
          </w:tcPr>
          <w:p w14:paraId="F500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F6000000">
            <w:pPr>
              <w:widowControl w:val="1"/>
              <w:ind/>
              <w:jc w:val="center"/>
              <w:rPr>
                <w:sz w:val="24"/>
              </w:rPr>
            </w:pPr>
          </w:p>
        </w:tc>
        <w:tc>
          <w:tcPr>
            <w:tcW w:type="dxa" w:w="1417"/>
            <w:tcBorders>
              <w:top w:color="000000" w:sz="4" w:val="single"/>
              <w:left w:color="000000" w:sz="4" w:val="single"/>
              <w:bottom w:color="000000" w:sz="4" w:val="single"/>
              <w:right w:color="000000" w:sz="4" w:val="single"/>
            </w:tcBorders>
          </w:tcPr>
          <w:p w14:paraId="F7000000">
            <w:pPr>
              <w:widowControl w:val="1"/>
              <w:ind/>
              <w:jc w:val="center"/>
              <w:rPr>
                <w:sz w:val="24"/>
              </w:rPr>
            </w:pPr>
          </w:p>
        </w:tc>
        <w:tc>
          <w:tcPr>
            <w:tcW w:type="dxa" w:w="1418"/>
            <w:tcBorders>
              <w:top w:color="000000" w:sz="4" w:val="single"/>
              <w:left w:color="000000" w:sz="4" w:val="single"/>
              <w:bottom w:color="000000" w:sz="4" w:val="single"/>
              <w:right w:color="000000" w:sz="4" w:val="single"/>
            </w:tcBorders>
          </w:tcPr>
          <w:p w14:paraId="F8000000">
            <w:pPr>
              <w:widowControl w:val="1"/>
              <w:ind/>
              <w:jc w:val="center"/>
              <w:rPr>
                <w:sz w:val="24"/>
              </w:rPr>
            </w:pPr>
          </w:p>
        </w:tc>
      </w:tr>
      <w:tr>
        <w:tc>
          <w:tcPr>
            <w:tcW w:type="dxa" w:w="996"/>
            <w:tcBorders>
              <w:top w:color="000000" w:sz="4" w:val="single"/>
              <w:left w:color="000000" w:sz="4" w:val="single"/>
              <w:bottom w:color="000000" w:sz="4" w:val="single"/>
              <w:right w:color="000000" w:sz="4" w:val="single"/>
            </w:tcBorders>
          </w:tcPr>
          <w:p w14:paraId="F9000000">
            <w:pPr>
              <w:widowControl w:val="1"/>
              <w:ind/>
              <w:jc w:val="center"/>
              <w:rPr>
                <w:sz w:val="24"/>
              </w:rPr>
            </w:pPr>
            <w:r>
              <w:rPr>
                <w:sz w:val="24"/>
              </w:rPr>
              <w:t>2.1</w:t>
            </w:r>
          </w:p>
        </w:tc>
        <w:tc>
          <w:tcPr>
            <w:tcW w:type="dxa" w:w="4250"/>
            <w:gridSpan w:val="2"/>
            <w:tcBorders>
              <w:top w:color="000000" w:sz="4" w:val="single"/>
              <w:left w:color="000000" w:sz="4" w:val="single"/>
              <w:bottom w:color="000000" w:sz="4" w:val="single"/>
              <w:right w:color="000000" w:sz="4" w:val="single"/>
            </w:tcBorders>
          </w:tcPr>
          <w:p w14:paraId="FA000000">
            <w:pPr>
              <w:rPr>
                <w:sz w:val="24"/>
              </w:rPr>
            </w:pPr>
            <w:r>
              <w:rPr>
                <w:sz w:val="24"/>
              </w:rPr>
              <w:t>Проведение оценки налоговых расходов Крапивинского муниципального округа в соответствии с постановлением администрации Крапивинского муниципального округа от 08.11.2023 № 1661 «Об утверждении Положения о формировании перечня  налоговых расходов Крапивинского муниципального округа и оценке налоговых расходов Крапивинского муниципального округа»</w:t>
            </w:r>
          </w:p>
        </w:tc>
        <w:tc>
          <w:tcPr>
            <w:tcW w:type="dxa" w:w="4111"/>
            <w:tcBorders>
              <w:top w:color="000000" w:sz="4" w:val="single"/>
              <w:left w:color="000000" w:sz="4" w:val="single"/>
              <w:bottom w:color="000000" w:sz="4" w:val="single"/>
              <w:right w:color="000000" w:sz="4" w:val="single"/>
            </w:tcBorders>
          </w:tcPr>
          <w:p w14:paraId="FB000000">
            <w:pPr>
              <w:rPr>
                <w:sz w:val="24"/>
              </w:rPr>
            </w:pPr>
            <w:r>
              <w:rPr>
                <w:sz w:val="24"/>
              </w:rPr>
              <w:t>Финансовое управление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FC000000">
            <w:pPr>
              <w:widowControl w:val="1"/>
              <w:ind/>
              <w:jc w:val="center"/>
              <w:rPr>
                <w:sz w:val="24"/>
              </w:rPr>
            </w:pPr>
            <w:r>
              <w:rPr>
                <w:sz w:val="24"/>
              </w:rPr>
              <w:t>202</w:t>
            </w:r>
            <w:r>
              <w:rPr>
                <w:sz w:val="24"/>
              </w:rPr>
              <w:t>5</w:t>
            </w:r>
            <w:r>
              <w:rPr>
                <w:sz w:val="24"/>
              </w:rPr>
              <w:t>–</w:t>
            </w:r>
          </w:p>
          <w:p w14:paraId="FD00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FE00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FF00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00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01010000">
            <w:pPr>
              <w:widowControl w:val="1"/>
              <w:ind/>
              <w:jc w:val="center"/>
              <w:rPr>
                <w:sz w:val="24"/>
              </w:rPr>
            </w:pPr>
            <w:r>
              <w:rPr>
                <w:sz w:val="24"/>
              </w:rPr>
              <w:t>2.2</w:t>
            </w:r>
          </w:p>
        </w:tc>
        <w:tc>
          <w:tcPr>
            <w:tcW w:type="dxa" w:w="4250"/>
            <w:gridSpan w:val="2"/>
            <w:tcBorders>
              <w:top w:color="000000" w:sz="4" w:val="single"/>
              <w:left w:color="000000" w:sz="4" w:val="single"/>
              <w:bottom w:color="000000" w:sz="4" w:val="single"/>
              <w:right w:color="000000" w:sz="4" w:val="single"/>
            </w:tcBorders>
          </w:tcPr>
          <w:p w14:paraId="02010000">
            <w:pPr>
              <w:rPr>
                <w:sz w:val="24"/>
              </w:rPr>
            </w:pPr>
            <w:r>
              <w:rPr>
                <w:sz w:val="24"/>
              </w:rPr>
              <w:t xml:space="preserve">Проведение мониторинга налоговых расходов, устанавливаемых органами местного самоуправления. Подготовка рекомендаций для органов местного самоуправления по отмене неэффективных налоговых расходов, изменению размера льгот и ставок по местным налогам  </w:t>
            </w:r>
          </w:p>
        </w:tc>
        <w:tc>
          <w:tcPr>
            <w:tcW w:type="dxa" w:w="4111"/>
            <w:tcBorders>
              <w:top w:color="000000" w:sz="4" w:val="single"/>
              <w:left w:color="000000" w:sz="4" w:val="single"/>
              <w:bottom w:color="000000" w:sz="4" w:val="single"/>
              <w:right w:color="000000" w:sz="4" w:val="single"/>
            </w:tcBorders>
          </w:tcPr>
          <w:p w14:paraId="03010000">
            <w:pPr>
              <w:rPr>
                <w:sz w:val="24"/>
              </w:rPr>
            </w:pPr>
            <w:r>
              <w:rPr>
                <w:sz w:val="24"/>
              </w:rPr>
              <w:t>Финансовое управление администрации Крапивинского муниципального округа;</w:t>
            </w:r>
          </w:p>
          <w:p w14:paraId="04010000">
            <w:pPr>
              <w:rPr>
                <w:sz w:val="24"/>
              </w:rPr>
            </w:pPr>
            <w:r>
              <w:rPr>
                <w:sz w:val="24"/>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05010000">
            <w:pPr>
              <w:widowControl w:val="1"/>
              <w:ind/>
              <w:jc w:val="center"/>
              <w:rPr>
                <w:sz w:val="24"/>
              </w:rPr>
            </w:pPr>
            <w:r>
              <w:rPr>
                <w:sz w:val="24"/>
              </w:rPr>
              <w:t>202</w:t>
            </w:r>
            <w:r>
              <w:rPr>
                <w:sz w:val="24"/>
              </w:rPr>
              <w:t>5</w:t>
            </w:r>
            <w:r>
              <w:rPr>
                <w:sz w:val="24"/>
              </w:rPr>
              <w:t>–</w:t>
            </w:r>
          </w:p>
          <w:p w14:paraId="06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07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08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09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0A010000">
            <w:pPr>
              <w:widowControl w:val="1"/>
              <w:ind/>
              <w:jc w:val="center"/>
              <w:rPr>
                <w:sz w:val="24"/>
              </w:rPr>
            </w:pPr>
            <w:r>
              <w:rPr>
                <w:sz w:val="24"/>
              </w:rPr>
              <w:t>2.3</w:t>
            </w:r>
          </w:p>
        </w:tc>
        <w:tc>
          <w:tcPr>
            <w:tcW w:type="dxa" w:w="4250"/>
            <w:gridSpan w:val="2"/>
            <w:tcBorders>
              <w:top w:color="000000" w:sz="4" w:val="single"/>
              <w:left w:color="000000" w:sz="4" w:val="single"/>
              <w:bottom w:color="000000" w:sz="4" w:val="single"/>
              <w:right w:color="000000" w:sz="4" w:val="single"/>
            </w:tcBorders>
          </w:tcPr>
          <w:p w14:paraId="0B010000">
            <w:pPr>
              <w:rPr>
                <w:sz w:val="24"/>
              </w:rPr>
            </w:pPr>
            <w:r>
              <w:rPr>
                <w:sz w:val="24"/>
              </w:rPr>
              <w:t xml:space="preserve">Отмена неэффективных налоговых расходов, устанавливаемых органами местного самоуправления, изменение размера льгот и ставок по местным налогам  </w:t>
            </w:r>
          </w:p>
        </w:tc>
        <w:tc>
          <w:tcPr>
            <w:tcW w:type="dxa" w:w="4111"/>
            <w:tcBorders>
              <w:top w:color="000000" w:sz="4" w:val="single"/>
              <w:left w:color="000000" w:sz="4" w:val="single"/>
              <w:bottom w:color="000000" w:sz="4" w:val="single"/>
              <w:right w:color="000000" w:sz="4" w:val="single"/>
            </w:tcBorders>
          </w:tcPr>
          <w:p w14:paraId="0C010000">
            <w:pPr>
              <w:rPr>
                <w:sz w:val="24"/>
              </w:rPr>
            </w:pPr>
            <w:r>
              <w:rPr>
                <w:sz w:val="24"/>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0D010000">
            <w:pPr>
              <w:widowControl w:val="1"/>
              <w:ind/>
              <w:jc w:val="center"/>
              <w:rPr>
                <w:sz w:val="24"/>
              </w:rPr>
            </w:pPr>
            <w:r>
              <w:rPr>
                <w:sz w:val="24"/>
              </w:rPr>
              <w:t>202</w:t>
            </w:r>
            <w:r>
              <w:rPr>
                <w:sz w:val="24"/>
              </w:rPr>
              <w:t>5</w:t>
            </w:r>
            <w:r>
              <w:rPr>
                <w:sz w:val="24"/>
              </w:rPr>
              <w:t>–</w:t>
            </w:r>
          </w:p>
          <w:p w14:paraId="0E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0F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10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11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12010000">
            <w:pPr>
              <w:widowControl w:val="1"/>
              <w:ind/>
              <w:jc w:val="center"/>
              <w:rPr>
                <w:sz w:val="24"/>
              </w:rPr>
            </w:pPr>
            <w:r>
              <w:rPr>
                <w:sz w:val="24"/>
              </w:rPr>
              <w:t>3</w:t>
            </w:r>
          </w:p>
        </w:tc>
        <w:tc>
          <w:tcPr>
            <w:tcW w:type="dxa" w:w="4250"/>
            <w:gridSpan w:val="2"/>
            <w:tcBorders>
              <w:top w:color="000000" w:sz="4" w:val="single"/>
              <w:left w:color="000000" w:sz="4" w:val="single"/>
              <w:bottom w:color="000000" w:sz="4" w:val="single"/>
              <w:right w:color="000000" w:sz="4" w:val="single"/>
            </w:tcBorders>
          </w:tcPr>
          <w:p w14:paraId="13010000">
            <w:pPr>
              <w:rPr>
                <w:sz w:val="24"/>
              </w:rPr>
            </w:pPr>
            <w:r>
              <w:rPr>
                <w:sz w:val="24"/>
              </w:rPr>
              <w:t>Сокращение задолженности по платежам в бюджет Крапивинского муниципального округа</w:t>
            </w:r>
          </w:p>
        </w:tc>
        <w:tc>
          <w:tcPr>
            <w:tcW w:type="dxa" w:w="4111"/>
            <w:tcBorders>
              <w:top w:color="000000" w:sz="4" w:val="single"/>
              <w:left w:color="000000" w:sz="4" w:val="single"/>
              <w:bottom w:color="000000" w:sz="4" w:val="single"/>
              <w:right w:color="000000" w:sz="4" w:val="single"/>
            </w:tcBorders>
          </w:tcPr>
          <w:p w14:paraId="14010000">
            <w:pPr>
              <w:rPr>
                <w:sz w:val="24"/>
              </w:rPr>
            </w:pPr>
          </w:p>
        </w:tc>
        <w:tc>
          <w:tcPr>
            <w:tcW w:type="dxa" w:w="1701"/>
            <w:tcBorders>
              <w:top w:color="000000" w:sz="4" w:val="single"/>
              <w:left w:color="000000" w:sz="4" w:val="single"/>
              <w:bottom w:color="000000" w:sz="4" w:val="single"/>
              <w:right w:color="000000" w:sz="4" w:val="single"/>
            </w:tcBorders>
          </w:tcPr>
          <w:p w14:paraId="1501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16010000">
            <w:pPr>
              <w:widowControl w:val="1"/>
              <w:ind/>
              <w:jc w:val="center"/>
              <w:rPr>
                <w:sz w:val="24"/>
              </w:rPr>
            </w:pPr>
          </w:p>
        </w:tc>
        <w:tc>
          <w:tcPr>
            <w:tcW w:type="dxa" w:w="1417"/>
            <w:tcBorders>
              <w:top w:color="000000" w:sz="4" w:val="single"/>
              <w:left w:color="000000" w:sz="4" w:val="single"/>
              <w:bottom w:color="000000" w:sz="4" w:val="single"/>
              <w:right w:color="000000" w:sz="4" w:val="single"/>
            </w:tcBorders>
          </w:tcPr>
          <w:p w14:paraId="17010000">
            <w:pPr>
              <w:widowControl w:val="1"/>
              <w:ind/>
              <w:jc w:val="center"/>
              <w:rPr>
                <w:sz w:val="24"/>
              </w:rPr>
            </w:pPr>
          </w:p>
        </w:tc>
        <w:tc>
          <w:tcPr>
            <w:tcW w:type="dxa" w:w="1418"/>
            <w:tcBorders>
              <w:top w:color="000000" w:sz="4" w:val="single"/>
              <w:left w:color="000000" w:sz="4" w:val="single"/>
              <w:bottom w:color="000000" w:sz="4" w:val="single"/>
              <w:right w:color="000000" w:sz="4" w:val="single"/>
            </w:tcBorders>
          </w:tcPr>
          <w:p w14:paraId="18010000">
            <w:pPr>
              <w:widowControl w:val="1"/>
              <w:ind/>
              <w:jc w:val="center"/>
              <w:rPr>
                <w:sz w:val="24"/>
              </w:rPr>
            </w:pPr>
          </w:p>
        </w:tc>
      </w:tr>
      <w:tr>
        <w:trPr>
          <w:trHeight w:hRule="atLeast" w:val="5418"/>
        </w:trPr>
        <w:tc>
          <w:tcPr>
            <w:tcW w:type="dxa" w:w="996"/>
            <w:tcBorders>
              <w:top w:color="000000" w:sz="4" w:val="single"/>
              <w:left w:color="000000" w:sz="4" w:val="single"/>
              <w:bottom w:color="000000" w:sz="4" w:val="single"/>
              <w:right w:color="000000" w:sz="4" w:val="single"/>
            </w:tcBorders>
          </w:tcPr>
          <w:p w14:paraId="19010000">
            <w:pPr>
              <w:widowControl w:val="1"/>
              <w:ind/>
              <w:jc w:val="center"/>
              <w:rPr>
                <w:sz w:val="24"/>
              </w:rPr>
            </w:pPr>
            <w:r>
              <w:rPr>
                <w:sz w:val="24"/>
              </w:rPr>
              <w:t>3.1</w:t>
            </w:r>
          </w:p>
        </w:tc>
        <w:tc>
          <w:tcPr>
            <w:tcW w:type="dxa" w:w="4250"/>
            <w:gridSpan w:val="2"/>
            <w:tcBorders>
              <w:top w:color="000000" w:sz="4" w:val="single"/>
              <w:left w:color="000000" w:sz="4" w:val="single"/>
              <w:bottom w:color="000000" w:sz="4" w:val="single"/>
              <w:right w:color="000000" w:sz="4" w:val="single"/>
            </w:tcBorders>
          </w:tcPr>
          <w:p w14:paraId="1A010000">
            <w:pPr>
              <w:rPr>
                <w:sz w:val="24"/>
              </w:rPr>
            </w:pPr>
            <w:r>
              <w:rPr>
                <w:sz w:val="24"/>
              </w:rPr>
              <w:t>Продолжение деятельности штаба по финансовому мониторингу, обеспечению устойчивого развития экономики и социальной стабильности Крапивинского муниципального округа по вопросам:</w:t>
            </w:r>
          </w:p>
          <w:p w14:paraId="1B010000">
            <w:pPr>
              <w:rPr>
                <w:sz w:val="24"/>
              </w:rPr>
            </w:pPr>
            <w:r>
              <w:rPr>
                <w:sz w:val="24"/>
              </w:rPr>
              <w:t xml:space="preserve">увеличения поступлений налоговых платежей в бюджет Крапивинского муниципального округа, погашения задолженности по уплате налогов и сборов, исполнения предприятиями и организациями функций налогового агента по перечислению в бюджет налога на доходы физических лиц; </w:t>
            </w:r>
            <w:r>
              <w:rPr>
                <w:sz w:val="24"/>
              </w:rPr>
              <w:br/>
            </w:r>
            <w:r>
              <w:rPr>
                <w:sz w:val="24"/>
              </w:rPr>
              <w:t>проведения работы с убыточными предприятиями и организациями</w:t>
            </w:r>
          </w:p>
        </w:tc>
        <w:tc>
          <w:tcPr>
            <w:tcW w:type="dxa" w:w="4111"/>
            <w:tcBorders>
              <w:top w:color="000000" w:sz="4" w:val="single"/>
              <w:left w:color="000000" w:sz="4" w:val="single"/>
              <w:bottom w:color="000000" w:sz="4" w:val="single"/>
              <w:right w:color="000000" w:sz="4" w:val="single"/>
            </w:tcBorders>
          </w:tcPr>
          <w:p w14:paraId="1C010000">
            <w:pPr>
              <w:rPr>
                <w:sz w:val="24"/>
              </w:rPr>
            </w:pPr>
            <w:r>
              <w:rPr>
                <w:sz w:val="24"/>
              </w:rPr>
              <w:t>Заместители главы Крапивинского муниципального округа;</w:t>
            </w:r>
          </w:p>
          <w:p w14:paraId="1D010000">
            <w:pPr>
              <w:rPr>
                <w:sz w:val="24"/>
              </w:rPr>
            </w:pPr>
            <w:r>
              <w:rPr>
                <w:sz w:val="24"/>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1E010000">
            <w:pPr>
              <w:widowControl w:val="1"/>
              <w:ind/>
              <w:jc w:val="center"/>
              <w:rPr>
                <w:sz w:val="24"/>
              </w:rPr>
            </w:pPr>
            <w:r>
              <w:rPr>
                <w:sz w:val="24"/>
              </w:rPr>
              <w:t>202</w:t>
            </w:r>
            <w:r>
              <w:rPr>
                <w:sz w:val="24"/>
              </w:rPr>
              <w:t>5</w:t>
            </w:r>
            <w:r>
              <w:rPr>
                <w:sz w:val="24"/>
              </w:rPr>
              <w:t>–</w:t>
            </w:r>
          </w:p>
          <w:p w14:paraId="1F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20010000">
            <w:pPr>
              <w:widowControl w:val="1"/>
              <w:ind/>
              <w:jc w:val="center"/>
              <w:rPr>
                <w:sz w:val="24"/>
              </w:rPr>
            </w:pPr>
            <w:r>
              <w:rPr>
                <w:sz w:val="24"/>
              </w:rPr>
              <w:t>4000,0</w:t>
            </w:r>
          </w:p>
        </w:tc>
        <w:tc>
          <w:tcPr>
            <w:tcW w:type="dxa" w:w="1417"/>
            <w:tcBorders>
              <w:top w:color="000000" w:sz="4" w:val="single"/>
              <w:left w:color="000000" w:sz="4" w:val="single"/>
              <w:bottom w:color="000000" w:sz="4" w:val="single"/>
              <w:right w:color="000000" w:sz="4" w:val="single"/>
            </w:tcBorders>
          </w:tcPr>
          <w:p w14:paraId="21010000">
            <w:pPr>
              <w:widowControl w:val="1"/>
              <w:ind/>
              <w:jc w:val="center"/>
              <w:rPr>
                <w:sz w:val="24"/>
              </w:rPr>
            </w:pPr>
            <w:r>
              <w:rPr>
                <w:sz w:val="24"/>
              </w:rPr>
              <w:t>4000,0</w:t>
            </w:r>
          </w:p>
        </w:tc>
        <w:tc>
          <w:tcPr>
            <w:tcW w:type="dxa" w:w="1418"/>
            <w:tcBorders>
              <w:top w:color="000000" w:sz="4" w:val="single"/>
              <w:left w:color="000000" w:sz="4" w:val="single"/>
              <w:bottom w:color="000000" w:sz="4" w:val="single"/>
              <w:right w:color="000000" w:sz="4" w:val="single"/>
            </w:tcBorders>
          </w:tcPr>
          <w:p w14:paraId="22010000">
            <w:pPr>
              <w:widowControl w:val="1"/>
              <w:ind/>
              <w:jc w:val="center"/>
              <w:rPr>
                <w:sz w:val="24"/>
              </w:rPr>
            </w:pPr>
            <w:r>
              <w:rPr>
                <w:sz w:val="24"/>
              </w:rPr>
              <w:t>4000,0</w:t>
            </w:r>
          </w:p>
        </w:tc>
      </w:tr>
      <w:tr>
        <w:tc>
          <w:tcPr>
            <w:tcW w:type="dxa" w:w="996"/>
            <w:tcBorders>
              <w:top w:color="000000" w:sz="4" w:val="single"/>
              <w:left w:color="000000" w:sz="4" w:val="single"/>
              <w:bottom w:color="000000" w:sz="4" w:val="single"/>
              <w:right w:color="000000" w:sz="4" w:val="single"/>
            </w:tcBorders>
          </w:tcPr>
          <w:p w14:paraId="23010000">
            <w:pPr>
              <w:widowControl w:val="1"/>
              <w:ind/>
              <w:jc w:val="center"/>
              <w:rPr>
                <w:sz w:val="24"/>
              </w:rPr>
            </w:pPr>
            <w:r>
              <w:rPr>
                <w:sz w:val="24"/>
              </w:rPr>
              <w:t>3.2</w:t>
            </w:r>
          </w:p>
        </w:tc>
        <w:tc>
          <w:tcPr>
            <w:tcW w:type="dxa" w:w="4250"/>
            <w:gridSpan w:val="2"/>
            <w:tcBorders>
              <w:top w:color="000000" w:sz="4" w:val="single"/>
              <w:left w:color="000000" w:sz="4" w:val="single"/>
              <w:bottom w:color="000000" w:sz="4" w:val="single"/>
              <w:right w:color="000000" w:sz="4" w:val="single"/>
            </w:tcBorders>
          </w:tcPr>
          <w:p w14:paraId="24010000">
            <w:pPr>
              <w:rPr>
                <w:sz w:val="24"/>
              </w:rPr>
            </w:pPr>
            <w:r>
              <w:rPr>
                <w:sz w:val="24"/>
              </w:rPr>
              <w:t>Усиление контроля за поступлением налоговых и неналоговых доходов в бюджет Крапивинского муниципального округа по курируемым направлениям деятельности в соответствии с постановлением  от 20.02.2024 № 210«О мерах по увеличению поступлений налоговых  и неналоговых доходов в консолидированный бюджет Крапивинского муниципального округа»</w:t>
            </w:r>
          </w:p>
          <w:p w14:paraId="25010000">
            <w:pPr>
              <w:rPr>
                <w:sz w:val="24"/>
              </w:rPr>
            </w:pPr>
          </w:p>
        </w:tc>
        <w:tc>
          <w:tcPr>
            <w:tcW w:type="dxa" w:w="4111"/>
            <w:tcBorders>
              <w:top w:color="000000" w:sz="4" w:val="single"/>
              <w:left w:color="000000" w:sz="4" w:val="single"/>
              <w:bottom w:color="000000" w:sz="4" w:val="single"/>
              <w:right w:color="000000" w:sz="4" w:val="single"/>
            </w:tcBorders>
          </w:tcPr>
          <w:p w14:paraId="26010000">
            <w:pPr>
              <w:rPr>
                <w:sz w:val="24"/>
              </w:rPr>
            </w:pPr>
            <w:r>
              <w:rPr>
                <w:sz w:val="24"/>
              </w:rPr>
              <w:t xml:space="preserve">Заместители главы Крапивинского муниципального округа; </w:t>
            </w:r>
          </w:p>
          <w:p w14:paraId="27010000">
            <w:pPr>
              <w:rPr>
                <w:sz w:val="24"/>
              </w:rPr>
            </w:pPr>
            <w:r>
              <w:rPr>
                <w:sz w:val="24"/>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28010000">
            <w:pPr>
              <w:widowControl w:val="1"/>
              <w:ind/>
              <w:jc w:val="center"/>
              <w:rPr>
                <w:sz w:val="24"/>
              </w:rPr>
            </w:pPr>
            <w:r>
              <w:rPr>
                <w:sz w:val="24"/>
              </w:rPr>
              <w:t>202</w:t>
            </w:r>
            <w:r>
              <w:rPr>
                <w:sz w:val="24"/>
              </w:rPr>
              <w:t>5</w:t>
            </w:r>
            <w:r>
              <w:rPr>
                <w:sz w:val="24"/>
              </w:rPr>
              <w:t>–</w:t>
            </w:r>
          </w:p>
          <w:p w14:paraId="29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2A010000">
            <w:pPr>
              <w:widowControl w:val="1"/>
              <w:ind/>
              <w:jc w:val="center"/>
              <w:rPr>
                <w:sz w:val="24"/>
              </w:rPr>
            </w:pPr>
            <w:r>
              <w:rPr>
                <w:sz w:val="24"/>
              </w:rPr>
              <w:t>20</w:t>
            </w:r>
            <w:r>
              <w:rPr>
                <w:sz w:val="24"/>
              </w:rPr>
              <w:t>0,0</w:t>
            </w:r>
          </w:p>
        </w:tc>
        <w:tc>
          <w:tcPr>
            <w:tcW w:type="dxa" w:w="1417"/>
            <w:tcBorders>
              <w:top w:color="000000" w:sz="4" w:val="single"/>
              <w:left w:color="000000" w:sz="4" w:val="single"/>
              <w:bottom w:color="000000" w:sz="4" w:val="single"/>
              <w:right w:color="000000" w:sz="4" w:val="single"/>
            </w:tcBorders>
          </w:tcPr>
          <w:p w14:paraId="2B010000">
            <w:pPr>
              <w:widowControl w:val="1"/>
              <w:ind/>
              <w:jc w:val="center"/>
              <w:rPr>
                <w:sz w:val="24"/>
              </w:rPr>
            </w:pPr>
            <w:r>
              <w:rPr>
                <w:sz w:val="24"/>
              </w:rPr>
              <w:t>20</w:t>
            </w:r>
            <w:r>
              <w:rPr>
                <w:sz w:val="24"/>
              </w:rPr>
              <w:t>0,0</w:t>
            </w:r>
          </w:p>
        </w:tc>
        <w:tc>
          <w:tcPr>
            <w:tcW w:type="dxa" w:w="1418"/>
            <w:tcBorders>
              <w:top w:color="000000" w:sz="4" w:val="single"/>
              <w:left w:color="000000" w:sz="4" w:val="single"/>
              <w:bottom w:color="000000" w:sz="4" w:val="single"/>
              <w:right w:color="000000" w:sz="4" w:val="single"/>
            </w:tcBorders>
          </w:tcPr>
          <w:p w14:paraId="2C010000">
            <w:pPr>
              <w:widowControl w:val="1"/>
              <w:ind/>
              <w:jc w:val="center"/>
              <w:rPr>
                <w:sz w:val="24"/>
              </w:rPr>
            </w:pPr>
            <w:r>
              <w:rPr>
                <w:sz w:val="24"/>
              </w:rPr>
              <w:t>20</w:t>
            </w:r>
            <w:r>
              <w:rPr>
                <w:sz w:val="24"/>
              </w:rPr>
              <w:t>0,0</w:t>
            </w:r>
          </w:p>
        </w:tc>
      </w:tr>
      <w:tr>
        <w:tc>
          <w:tcPr>
            <w:tcW w:type="dxa" w:w="996"/>
            <w:tcBorders>
              <w:top w:color="000000" w:sz="4" w:val="single"/>
              <w:left w:color="000000" w:sz="4" w:val="single"/>
              <w:bottom w:color="000000" w:sz="4" w:val="single"/>
              <w:right w:color="000000" w:sz="4" w:val="single"/>
            </w:tcBorders>
          </w:tcPr>
          <w:p w14:paraId="2D010000">
            <w:pPr>
              <w:widowControl w:val="1"/>
              <w:ind/>
              <w:jc w:val="center"/>
              <w:rPr>
                <w:sz w:val="24"/>
              </w:rPr>
            </w:pPr>
            <w:r>
              <w:rPr>
                <w:sz w:val="24"/>
              </w:rPr>
              <w:t>3.3</w:t>
            </w:r>
          </w:p>
        </w:tc>
        <w:tc>
          <w:tcPr>
            <w:tcW w:type="dxa" w:w="4250"/>
            <w:gridSpan w:val="2"/>
            <w:tcBorders>
              <w:top w:color="000000" w:sz="4" w:val="single"/>
              <w:left w:color="000000" w:sz="4" w:val="single"/>
              <w:bottom w:color="000000" w:sz="4" w:val="single"/>
              <w:right w:color="000000" w:sz="4" w:val="single"/>
            </w:tcBorders>
          </w:tcPr>
          <w:p w14:paraId="2E010000">
            <w:pPr>
              <w:rPr>
                <w:sz w:val="24"/>
              </w:rPr>
            </w:pPr>
            <w:r>
              <w:rPr>
                <w:sz w:val="24"/>
              </w:rPr>
              <w:t>Принятие мер по взысканию дебиторской задолженности по доходам в бюджет Крапивинского муниципального округа</w:t>
            </w:r>
          </w:p>
        </w:tc>
        <w:tc>
          <w:tcPr>
            <w:tcW w:type="dxa" w:w="4111"/>
            <w:tcBorders>
              <w:top w:color="000000" w:sz="4" w:val="single"/>
              <w:left w:color="000000" w:sz="4" w:val="single"/>
              <w:bottom w:color="000000" w:sz="4" w:val="single"/>
              <w:right w:color="000000" w:sz="4" w:val="single"/>
            </w:tcBorders>
          </w:tcPr>
          <w:p w14:paraId="2F010000">
            <w:pPr>
              <w:rPr>
                <w:sz w:val="24"/>
              </w:rPr>
            </w:pPr>
            <w:r>
              <w:rPr>
                <w:sz w:val="24"/>
              </w:rPr>
              <w:t>Комитет по управлению муниципальным имуществом администрации Крапивинского муниципального округа;</w:t>
            </w:r>
          </w:p>
          <w:p w14:paraId="30010000">
            <w:pPr>
              <w:rPr>
                <w:sz w:val="24"/>
              </w:rPr>
            </w:pPr>
            <w:r>
              <w:rPr>
                <w:sz w:val="24"/>
              </w:rPr>
              <w:t>Отдел экономического развития администрации Крапивинского муниципального округа;</w:t>
            </w:r>
          </w:p>
          <w:p w14:paraId="31010000">
            <w:pPr>
              <w:rPr>
                <w:sz w:val="24"/>
              </w:rPr>
            </w:pPr>
            <w:r>
              <w:rPr>
                <w:sz w:val="24"/>
              </w:rPr>
              <w:t>Органы местного самоуправления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32010000">
            <w:pPr>
              <w:widowControl w:val="1"/>
              <w:ind/>
              <w:jc w:val="center"/>
              <w:rPr>
                <w:sz w:val="24"/>
              </w:rPr>
            </w:pPr>
            <w:r>
              <w:rPr>
                <w:sz w:val="24"/>
              </w:rPr>
              <w:t>202</w:t>
            </w:r>
            <w:r>
              <w:rPr>
                <w:sz w:val="24"/>
              </w:rPr>
              <w:t>5</w:t>
            </w:r>
            <w:r>
              <w:rPr>
                <w:sz w:val="24"/>
              </w:rPr>
              <w:t>–</w:t>
            </w:r>
          </w:p>
          <w:p w14:paraId="33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34010000">
            <w:pPr>
              <w:widowControl w:val="1"/>
              <w:ind/>
              <w:jc w:val="center"/>
              <w:rPr>
                <w:sz w:val="24"/>
              </w:rPr>
            </w:pPr>
            <w:r>
              <w:rPr>
                <w:sz w:val="24"/>
              </w:rPr>
              <w:t>6</w:t>
            </w:r>
            <w:r>
              <w:rPr>
                <w:sz w:val="24"/>
              </w:rPr>
              <w:t>00,0</w:t>
            </w:r>
          </w:p>
        </w:tc>
        <w:tc>
          <w:tcPr>
            <w:tcW w:type="dxa" w:w="1417"/>
            <w:tcBorders>
              <w:top w:color="000000" w:sz="4" w:val="single"/>
              <w:left w:color="000000" w:sz="4" w:val="single"/>
              <w:bottom w:color="000000" w:sz="4" w:val="single"/>
              <w:right w:color="000000" w:sz="4" w:val="single"/>
            </w:tcBorders>
          </w:tcPr>
          <w:p w14:paraId="35010000">
            <w:pPr>
              <w:widowControl w:val="1"/>
              <w:ind/>
              <w:jc w:val="center"/>
              <w:rPr>
                <w:sz w:val="24"/>
              </w:rPr>
            </w:pPr>
            <w:r>
              <w:rPr>
                <w:sz w:val="24"/>
              </w:rPr>
              <w:t>6</w:t>
            </w:r>
            <w:r>
              <w:rPr>
                <w:sz w:val="24"/>
              </w:rPr>
              <w:t>00,0</w:t>
            </w:r>
          </w:p>
        </w:tc>
        <w:tc>
          <w:tcPr>
            <w:tcW w:type="dxa" w:w="1418"/>
            <w:tcBorders>
              <w:top w:color="000000" w:sz="4" w:val="single"/>
              <w:left w:color="000000" w:sz="4" w:val="single"/>
              <w:bottom w:color="000000" w:sz="4" w:val="single"/>
              <w:right w:color="000000" w:sz="4" w:val="single"/>
            </w:tcBorders>
          </w:tcPr>
          <w:p w14:paraId="36010000">
            <w:pPr>
              <w:widowControl w:val="1"/>
              <w:ind/>
              <w:jc w:val="center"/>
              <w:rPr>
                <w:sz w:val="24"/>
              </w:rPr>
            </w:pPr>
            <w:r>
              <w:rPr>
                <w:sz w:val="24"/>
              </w:rPr>
              <w:t>6</w:t>
            </w:r>
            <w:r>
              <w:rPr>
                <w:sz w:val="24"/>
              </w:rPr>
              <w:t>00,0</w:t>
            </w:r>
          </w:p>
        </w:tc>
      </w:tr>
      <w:tr>
        <w:tc>
          <w:tcPr>
            <w:tcW w:type="dxa" w:w="996"/>
            <w:tcBorders>
              <w:top w:color="000000" w:sz="4" w:val="single"/>
              <w:left w:color="000000" w:sz="4" w:val="single"/>
              <w:bottom w:color="000000" w:sz="4" w:val="single"/>
              <w:right w:color="000000" w:sz="4" w:val="single"/>
            </w:tcBorders>
          </w:tcPr>
          <w:p w14:paraId="37010000">
            <w:pPr>
              <w:widowControl w:val="1"/>
              <w:ind/>
              <w:jc w:val="center"/>
              <w:rPr>
                <w:sz w:val="24"/>
              </w:rPr>
            </w:pPr>
            <w:r>
              <w:rPr>
                <w:sz w:val="24"/>
              </w:rPr>
              <w:t>4</w:t>
            </w:r>
          </w:p>
        </w:tc>
        <w:tc>
          <w:tcPr>
            <w:tcW w:type="dxa" w:w="4250"/>
            <w:gridSpan w:val="2"/>
            <w:tcBorders>
              <w:top w:color="000000" w:sz="4" w:val="single"/>
              <w:left w:color="000000" w:sz="4" w:val="single"/>
              <w:bottom w:color="000000" w:sz="4" w:val="single"/>
              <w:right w:color="000000" w:sz="4" w:val="single"/>
            </w:tcBorders>
          </w:tcPr>
          <w:p w14:paraId="38010000">
            <w:pPr>
              <w:rPr>
                <w:sz w:val="24"/>
              </w:rPr>
            </w:pPr>
            <w:r>
              <w:rPr>
                <w:sz w:val="24"/>
              </w:rPr>
              <w:t>Реализация мероприятий, направленных на снижение неформальной занятости</w:t>
            </w:r>
          </w:p>
        </w:tc>
        <w:tc>
          <w:tcPr>
            <w:tcW w:type="dxa" w:w="4111"/>
            <w:tcBorders>
              <w:top w:color="000000" w:sz="4" w:val="single"/>
              <w:left w:color="000000" w:sz="4" w:val="single"/>
              <w:bottom w:color="000000" w:sz="4" w:val="single"/>
              <w:right w:color="000000" w:sz="4" w:val="single"/>
            </w:tcBorders>
          </w:tcPr>
          <w:p w14:paraId="39010000">
            <w:pPr>
              <w:rPr>
                <w:sz w:val="24"/>
              </w:rPr>
            </w:pPr>
            <w:r>
              <w:rPr>
                <w:sz w:val="24"/>
              </w:rPr>
              <w:t xml:space="preserve"> </w:t>
            </w:r>
          </w:p>
        </w:tc>
        <w:tc>
          <w:tcPr>
            <w:tcW w:type="dxa" w:w="1701"/>
            <w:tcBorders>
              <w:top w:color="000000" w:sz="4" w:val="single"/>
              <w:left w:color="000000" w:sz="4" w:val="single"/>
              <w:bottom w:color="000000" w:sz="4" w:val="single"/>
              <w:right w:color="000000" w:sz="4" w:val="single"/>
            </w:tcBorders>
          </w:tcPr>
          <w:p w14:paraId="3A010000">
            <w:pPr>
              <w:widowControl w:val="1"/>
              <w:ind/>
              <w:jc w:val="center"/>
              <w:rPr>
                <w:sz w:val="24"/>
              </w:rPr>
            </w:pPr>
            <w:r>
              <w:rPr>
                <w:sz w:val="24"/>
              </w:rPr>
              <w:t>202</w:t>
            </w:r>
            <w:r>
              <w:rPr>
                <w:sz w:val="24"/>
              </w:rPr>
              <w:t>5</w:t>
            </w:r>
            <w:r>
              <w:rPr>
                <w:sz w:val="24"/>
              </w:rPr>
              <w:t>–</w:t>
            </w:r>
          </w:p>
          <w:p w14:paraId="3B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3C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3D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3E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3F010000">
            <w:pPr>
              <w:widowControl w:val="1"/>
              <w:ind/>
              <w:jc w:val="center"/>
              <w:rPr>
                <w:sz w:val="24"/>
              </w:rPr>
            </w:pPr>
            <w:r>
              <w:rPr>
                <w:sz w:val="24"/>
              </w:rPr>
              <w:t>4.1</w:t>
            </w:r>
          </w:p>
        </w:tc>
        <w:tc>
          <w:tcPr>
            <w:tcW w:type="dxa" w:w="4250"/>
            <w:gridSpan w:val="2"/>
            <w:tcBorders>
              <w:top w:color="000000" w:sz="4" w:val="single"/>
              <w:left w:color="000000" w:sz="4" w:val="single"/>
              <w:bottom w:color="000000" w:sz="4" w:val="single"/>
              <w:right w:color="000000" w:sz="4" w:val="single"/>
            </w:tcBorders>
          </w:tcPr>
          <w:p w14:paraId="40010000">
            <w:pPr>
              <w:rPr>
                <w:sz w:val="24"/>
              </w:rPr>
            </w:pPr>
            <w:r>
              <w:rPr>
                <w:sz w:val="24"/>
              </w:rPr>
              <w:t xml:space="preserve">Регулярное информирование правоохранительных, налоговых, контрольно-надзорных органов о жалобах от населения по телефону горячей линии по вопросу неформальной занятости  </w:t>
            </w:r>
          </w:p>
        </w:tc>
        <w:tc>
          <w:tcPr>
            <w:tcW w:type="dxa" w:w="4111"/>
            <w:tcBorders>
              <w:top w:color="000000" w:sz="4" w:val="single"/>
              <w:left w:color="000000" w:sz="4" w:val="single"/>
              <w:bottom w:color="000000" w:sz="4" w:val="single"/>
              <w:right w:color="000000" w:sz="4" w:val="single"/>
            </w:tcBorders>
          </w:tcPr>
          <w:p w14:paraId="41010000">
            <w:pPr>
              <w:rPr>
                <w:sz w:val="24"/>
              </w:rPr>
            </w:pPr>
            <w:r>
              <w:rPr>
                <w:sz w:val="24"/>
              </w:rPr>
              <w:t xml:space="preserve">Отдел экономического развития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42010000">
            <w:pPr>
              <w:widowControl w:val="1"/>
              <w:ind/>
              <w:jc w:val="center"/>
              <w:rPr>
                <w:sz w:val="24"/>
              </w:rPr>
            </w:pPr>
            <w:r>
              <w:rPr>
                <w:sz w:val="24"/>
              </w:rPr>
              <w:t>202</w:t>
            </w:r>
            <w:r>
              <w:rPr>
                <w:sz w:val="24"/>
              </w:rPr>
              <w:t>5</w:t>
            </w:r>
            <w:r>
              <w:rPr>
                <w:sz w:val="24"/>
              </w:rPr>
              <w:t>–</w:t>
            </w:r>
          </w:p>
          <w:p w14:paraId="43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44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45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46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47010000">
            <w:pPr>
              <w:widowControl w:val="1"/>
              <w:ind/>
              <w:jc w:val="center"/>
              <w:rPr>
                <w:sz w:val="24"/>
              </w:rPr>
            </w:pPr>
            <w:r>
              <w:rPr>
                <w:sz w:val="24"/>
              </w:rPr>
              <w:t>4.2</w:t>
            </w:r>
          </w:p>
        </w:tc>
        <w:tc>
          <w:tcPr>
            <w:tcW w:type="dxa" w:w="4250"/>
            <w:gridSpan w:val="2"/>
            <w:tcBorders>
              <w:top w:color="000000" w:sz="4" w:val="single"/>
              <w:left w:color="000000" w:sz="4" w:val="single"/>
              <w:bottom w:color="000000" w:sz="4" w:val="single"/>
              <w:right w:color="000000" w:sz="4" w:val="single"/>
            </w:tcBorders>
          </w:tcPr>
          <w:p w14:paraId="48010000">
            <w:pPr>
              <w:rPr>
                <w:sz w:val="24"/>
              </w:rPr>
            </w:pPr>
            <w:r>
              <w:rPr>
                <w:sz w:val="24"/>
              </w:rPr>
              <w:t>Работа с собственниками организаций, осуществляющих деятельность на территории Крапивинского муниципального округа, по вопросу повышения уровня оплаты труда работников во время заключения соглашений о социально-экономическом сотрудничестве</w:t>
            </w:r>
          </w:p>
        </w:tc>
        <w:tc>
          <w:tcPr>
            <w:tcW w:type="dxa" w:w="4111"/>
            <w:tcBorders>
              <w:top w:color="000000" w:sz="4" w:val="single"/>
              <w:left w:color="000000" w:sz="4" w:val="single"/>
              <w:bottom w:color="000000" w:sz="4" w:val="single"/>
              <w:right w:color="000000" w:sz="4" w:val="single"/>
            </w:tcBorders>
          </w:tcPr>
          <w:p w14:paraId="49010000">
            <w:pPr>
              <w:rPr>
                <w:sz w:val="24"/>
              </w:rPr>
            </w:pPr>
            <w:r>
              <w:rPr>
                <w:sz w:val="24"/>
              </w:rPr>
              <w:t xml:space="preserve">Отдел экономического развития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4A010000">
            <w:pPr>
              <w:widowControl w:val="1"/>
              <w:ind/>
              <w:jc w:val="center"/>
              <w:rPr>
                <w:sz w:val="24"/>
              </w:rPr>
            </w:pPr>
            <w:r>
              <w:rPr>
                <w:sz w:val="24"/>
              </w:rPr>
              <w:t>202</w:t>
            </w:r>
            <w:r>
              <w:rPr>
                <w:sz w:val="24"/>
              </w:rPr>
              <w:t>5</w:t>
            </w:r>
            <w:r>
              <w:rPr>
                <w:sz w:val="24"/>
              </w:rPr>
              <w:t>–</w:t>
            </w:r>
          </w:p>
          <w:p w14:paraId="4B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4C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4D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4E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4F010000">
            <w:pPr>
              <w:widowControl w:val="1"/>
              <w:ind/>
              <w:jc w:val="center"/>
              <w:rPr>
                <w:sz w:val="24"/>
              </w:rPr>
            </w:pPr>
            <w:r>
              <w:rPr>
                <w:sz w:val="24"/>
              </w:rPr>
              <w:t>4.3</w:t>
            </w:r>
          </w:p>
        </w:tc>
        <w:tc>
          <w:tcPr>
            <w:tcW w:type="dxa" w:w="4250"/>
            <w:gridSpan w:val="2"/>
            <w:tcBorders>
              <w:top w:color="000000" w:sz="4" w:val="single"/>
              <w:left w:color="000000" w:sz="4" w:val="single"/>
              <w:bottom w:color="000000" w:sz="4" w:val="single"/>
              <w:right w:color="000000" w:sz="4" w:val="single"/>
            </w:tcBorders>
          </w:tcPr>
          <w:p w14:paraId="50010000">
            <w:pPr>
              <w:rPr>
                <w:sz w:val="24"/>
              </w:rPr>
            </w:pPr>
            <w:r>
              <w:rPr>
                <w:sz w:val="24"/>
              </w:rPr>
              <w:t>Проведение мероприятий по выявлению и пресечению фактов использования труда работников, в том числе из числа иностранных граждан, без оформления трудовых договоров, подмены трудовых отношений гражданско-правовыми, применения «конвертных» схем оплаты труда, а также иных нарушений в сфере оплаты труда</w:t>
            </w:r>
          </w:p>
        </w:tc>
        <w:tc>
          <w:tcPr>
            <w:tcW w:type="dxa" w:w="4111"/>
            <w:tcBorders>
              <w:top w:color="000000" w:sz="4" w:val="single"/>
              <w:left w:color="000000" w:sz="4" w:val="single"/>
              <w:bottom w:color="000000" w:sz="4" w:val="single"/>
              <w:right w:color="000000" w:sz="4" w:val="single"/>
            </w:tcBorders>
          </w:tcPr>
          <w:p w14:paraId="51010000">
            <w:pPr>
              <w:rPr>
                <w:sz w:val="24"/>
              </w:rPr>
            </w:pPr>
            <w:r>
              <w:rPr>
                <w:sz w:val="24"/>
              </w:rPr>
              <w:t xml:space="preserve">Отдел экономического развития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52010000">
            <w:pPr>
              <w:widowControl w:val="1"/>
              <w:ind/>
              <w:jc w:val="center"/>
              <w:rPr>
                <w:sz w:val="24"/>
              </w:rPr>
            </w:pPr>
            <w:r>
              <w:rPr>
                <w:sz w:val="24"/>
              </w:rPr>
              <w:t>202</w:t>
            </w:r>
            <w:r>
              <w:rPr>
                <w:sz w:val="24"/>
              </w:rPr>
              <w:t>5</w:t>
            </w:r>
            <w:r>
              <w:rPr>
                <w:sz w:val="24"/>
              </w:rPr>
              <w:t>–</w:t>
            </w:r>
          </w:p>
          <w:p w14:paraId="53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54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55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56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57010000">
            <w:pPr>
              <w:widowControl w:val="1"/>
              <w:ind/>
              <w:jc w:val="center"/>
              <w:rPr>
                <w:sz w:val="24"/>
              </w:rPr>
            </w:pPr>
            <w:r>
              <w:rPr>
                <w:sz w:val="24"/>
              </w:rPr>
              <w:t>4.4</w:t>
            </w:r>
          </w:p>
        </w:tc>
        <w:tc>
          <w:tcPr>
            <w:tcW w:type="dxa" w:w="4250"/>
            <w:gridSpan w:val="2"/>
            <w:tcBorders>
              <w:top w:color="000000" w:sz="4" w:val="single"/>
              <w:left w:color="000000" w:sz="4" w:val="single"/>
              <w:bottom w:color="000000" w:sz="4" w:val="single"/>
              <w:right w:color="000000" w:sz="4" w:val="single"/>
            </w:tcBorders>
          </w:tcPr>
          <w:p w14:paraId="58010000">
            <w:pPr>
              <w:rPr>
                <w:sz w:val="24"/>
              </w:rPr>
            </w:pPr>
            <w:r>
              <w:rPr>
                <w:sz w:val="24"/>
              </w:rPr>
              <w:t>Проведение правоохранительными, контролирующими органами и органами местного самоуправления Крапивинского муниципального округа совместных рейдовых мероприятий по объектам розничной торговли, общественного питания и сферы услуг в целях выявления и пресечений фактов осуществления физическими лицами незаконной предпринимательской деятельности, побуждения их к регистрации в качестве индивидуальных предпринимателей либо в качестве плательщика налога на профессиональный доход</w:t>
            </w:r>
          </w:p>
        </w:tc>
        <w:tc>
          <w:tcPr>
            <w:tcW w:type="dxa" w:w="4111"/>
            <w:tcBorders>
              <w:top w:color="000000" w:sz="4" w:val="single"/>
              <w:left w:color="000000" w:sz="4" w:val="single"/>
              <w:bottom w:color="000000" w:sz="4" w:val="single"/>
              <w:right w:color="000000" w:sz="4" w:val="single"/>
            </w:tcBorders>
          </w:tcPr>
          <w:p w14:paraId="59010000">
            <w:pPr>
              <w:rPr>
                <w:sz w:val="24"/>
              </w:rPr>
            </w:pPr>
            <w:r>
              <w:rPr>
                <w:sz w:val="24"/>
              </w:rPr>
              <w:t>Отдел экономического развития Крапивинского муниципального округа;</w:t>
            </w:r>
          </w:p>
          <w:p w14:paraId="5A010000">
            <w:pPr>
              <w:rPr>
                <w:sz w:val="24"/>
              </w:rPr>
            </w:pPr>
            <w:r>
              <w:rPr>
                <w:sz w:val="24"/>
              </w:rPr>
              <w:t>Отдел предпринимательства и потребительского рынка администрации Крапивинского муниципального округа;</w:t>
            </w:r>
          </w:p>
          <w:p w14:paraId="5B010000">
            <w:pPr>
              <w:rPr>
                <w:sz w:val="24"/>
              </w:rPr>
            </w:pPr>
            <w:r>
              <w:rPr>
                <w:sz w:val="24"/>
              </w:rPr>
              <w:t xml:space="preserve">Отдел МВД России по Крапивинскому муниципальному округу </w:t>
            </w:r>
          </w:p>
          <w:p w14:paraId="5C010000">
            <w:pPr>
              <w:rPr>
                <w:sz w:val="24"/>
              </w:rPr>
            </w:pPr>
            <w:r>
              <w:rPr>
                <w:sz w:val="24"/>
              </w:rPr>
              <w:t xml:space="preserve">(по согласованию), </w:t>
            </w:r>
          </w:p>
          <w:p w14:paraId="5D010000">
            <w:pPr>
              <w:rPr>
                <w:sz w:val="24"/>
              </w:rPr>
            </w:pPr>
            <w:r>
              <w:rPr>
                <w:sz w:val="24"/>
              </w:rPr>
              <w:t>Межрайонная инспекция Федеральной налоговой службы №2 по Кемеровской области – Кузбассу (по согласованию)</w:t>
            </w:r>
          </w:p>
        </w:tc>
        <w:tc>
          <w:tcPr>
            <w:tcW w:type="dxa" w:w="1701"/>
            <w:tcBorders>
              <w:top w:color="000000" w:sz="4" w:val="single"/>
              <w:left w:color="000000" w:sz="4" w:val="single"/>
              <w:bottom w:color="000000" w:sz="4" w:val="single"/>
              <w:right w:color="000000" w:sz="4" w:val="single"/>
            </w:tcBorders>
          </w:tcPr>
          <w:p w14:paraId="5E010000">
            <w:pPr>
              <w:widowControl w:val="1"/>
              <w:ind/>
              <w:jc w:val="center"/>
              <w:rPr>
                <w:sz w:val="24"/>
              </w:rPr>
            </w:pPr>
            <w:r>
              <w:rPr>
                <w:sz w:val="24"/>
              </w:rPr>
              <w:t>202</w:t>
            </w:r>
            <w:r>
              <w:rPr>
                <w:sz w:val="24"/>
              </w:rPr>
              <w:t>5</w:t>
            </w:r>
            <w:r>
              <w:rPr>
                <w:sz w:val="24"/>
              </w:rPr>
              <w:t>–</w:t>
            </w:r>
          </w:p>
          <w:p w14:paraId="5F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60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61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62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63010000">
            <w:pPr>
              <w:widowControl w:val="1"/>
              <w:ind/>
              <w:jc w:val="center"/>
              <w:rPr>
                <w:sz w:val="24"/>
              </w:rPr>
            </w:pPr>
            <w:r>
              <w:rPr>
                <w:sz w:val="24"/>
              </w:rPr>
              <w:t>5</w:t>
            </w:r>
          </w:p>
        </w:tc>
        <w:tc>
          <w:tcPr>
            <w:tcW w:type="dxa" w:w="4250"/>
            <w:gridSpan w:val="2"/>
            <w:tcBorders>
              <w:top w:color="000000" w:sz="4" w:val="single"/>
              <w:left w:color="000000" w:sz="4" w:val="single"/>
              <w:bottom w:color="000000" w:sz="4" w:val="single"/>
              <w:right w:color="000000" w:sz="4" w:val="single"/>
            </w:tcBorders>
          </w:tcPr>
          <w:p w14:paraId="64010000">
            <w:pPr>
              <w:rPr>
                <w:sz w:val="24"/>
              </w:rPr>
            </w:pPr>
            <w:r>
              <w:rPr>
                <w:sz w:val="24"/>
              </w:rPr>
              <w:t>Реализация мероприятий, направленных на привлечение к регистрации подрядных (субподрядных) организаций в качестве обособленных подразделений и уплате ими налогов в бюджет округа</w:t>
            </w:r>
          </w:p>
        </w:tc>
        <w:tc>
          <w:tcPr>
            <w:tcW w:type="dxa" w:w="4111"/>
            <w:tcBorders>
              <w:top w:color="000000" w:sz="4" w:val="single"/>
              <w:left w:color="000000" w:sz="4" w:val="single"/>
              <w:bottom w:color="000000" w:sz="4" w:val="single"/>
              <w:right w:color="000000" w:sz="4" w:val="single"/>
            </w:tcBorders>
          </w:tcPr>
          <w:p w14:paraId="65010000">
            <w:pPr>
              <w:rPr>
                <w:sz w:val="24"/>
              </w:rPr>
            </w:pPr>
          </w:p>
        </w:tc>
        <w:tc>
          <w:tcPr>
            <w:tcW w:type="dxa" w:w="1701"/>
            <w:tcBorders>
              <w:top w:color="000000" w:sz="4" w:val="single"/>
              <w:left w:color="000000" w:sz="4" w:val="single"/>
              <w:bottom w:color="000000" w:sz="4" w:val="single"/>
              <w:right w:color="000000" w:sz="4" w:val="single"/>
            </w:tcBorders>
          </w:tcPr>
          <w:p w14:paraId="66010000">
            <w:pPr>
              <w:widowControl w:val="1"/>
              <w:ind/>
              <w:jc w:val="center"/>
              <w:rPr>
                <w:sz w:val="24"/>
              </w:rPr>
            </w:pPr>
            <w:r>
              <w:rPr>
                <w:sz w:val="24"/>
              </w:rPr>
              <w:t>202</w:t>
            </w:r>
            <w:r>
              <w:rPr>
                <w:sz w:val="24"/>
              </w:rPr>
              <w:t>5</w:t>
            </w:r>
            <w:r>
              <w:rPr>
                <w:sz w:val="24"/>
              </w:rPr>
              <w:t>–</w:t>
            </w:r>
          </w:p>
          <w:p w14:paraId="67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68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69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6A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6B010000">
            <w:pPr>
              <w:widowControl w:val="1"/>
              <w:ind/>
              <w:jc w:val="center"/>
              <w:rPr>
                <w:sz w:val="24"/>
              </w:rPr>
            </w:pPr>
            <w:r>
              <w:rPr>
                <w:sz w:val="24"/>
              </w:rPr>
              <w:t>5.1</w:t>
            </w:r>
          </w:p>
        </w:tc>
        <w:tc>
          <w:tcPr>
            <w:tcW w:type="dxa" w:w="4250"/>
            <w:gridSpan w:val="2"/>
            <w:tcBorders>
              <w:top w:color="000000" w:sz="4" w:val="single"/>
              <w:left w:color="000000" w:sz="4" w:val="single"/>
              <w:bottom w:color="000000" w:sz="4" w:val="single"/>
              <w:right w:color="000000" w:sz="4" w:val="single"/>
            </w:tcBorders>
          </w:tcPr>
          <w:p w14:paraId="6C010000">
            <w:pPr>
              <w:rPr>
                <w:sz w:val="24"/>
              </w:rPr>
            </w:pPr>
            <w:r>
              <w:rPr>
                <w:sz w:val="24"/>
              </w:rPr>
              <w:t xml:space="preserve">Направление в Министерство труда и занятости населения Кузбасса информации о подрядных (субподрядных) организациях, зарегистрированных за пределами Крапивинского муниципального округа  и осуществляющих свою деятельность в Крапивинском муниципальном округе  </w:t>
            </w:r>
          </w:p>
        </w:tc>
        <w:tc>
          <w:tcPr>
            <w:tcW w:type="dxa" w:w="4111"/>
            <w:tcBorders>
              <w:top w:color="000000" w:sz="4" w:val="single"/>
              <w:left w:color="000000" w:sz="4" w:val="single"/>
              <w:bottom w:color="000000" w:sz="4" w:val="single"/>
              <w:right w:color="000000" w:sz="4" w:val="single"/>
            </w:tcBorders>
          </w:tcPr>
          <w:p w14:paraId="6D010000">
            <w:pPr>
              <w:rPr>
                <w:sz w:val="24"/>
              </w:rPr>
            </w:pPr>
            <w:r>
              <w:rPr>
                <w:sz w:val="24"/>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6E010000">
            <w:pPr>
              <w:widowControl w:val="1"/>
              <w:ind/>
              <w:jc w:val="center"/>
              <w:rPr>
                <w:sz w:val="24"/>
              </w:rPr>
            </w:pPr>
            <w:r>
              <w:rPr>
                <w:sz w:val="24"/>
              </w:rPr>
              <w:t>202</w:t>
            </w:r>
            <w:r>
              <w:rPr>
                <w:sz w:val="24"/>
              </w:rPr>
              <w:t>5</w:t>
            </w:r>
            <w:r>
              <w:rPr>
                <w:sz w:val="24"/>
              </w:rPr>
              <w:t>–</w:t>
            </w:r>
          </w:p>
          <w:p w14:paraId="6F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70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71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72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73010000">
            <w:pPr>
              <w:widowControl w:val="1"/>
              <w:ind/>
              <w:jc w:val="center"/>
              <w:rPr>
                <w:sz w:val="24"/>
              </w:rPr>
            </w:pPr>
            <w:r>
              <w:rPr>
                <w:sz w:val="24"/>
              </w:rPr>
              <w:t>6</w:t>
            </w:r>
          </w:p>
        </w:tc>
        <w:tc>
          <w:tcPr>
            <w:tcW w:type="dxa" w:w="4250"/>
            <w:gridSpan w:val="2"/>
            <w:tcBorders>
              <w:top w:color="000000" w:sz="4" w:val="single"/>
              <w:left w:color="000000" w:sz="4" w:val="single"/>
              <w:bottom w:color="000000" w:sz="4" w:val="single"/>
              <w:right w:color="000000" w:sz="4" w:val="single"/>
            </w:tcBorders>
          </w:tcPr>
          <w:p w14:paraId="74010000">
            <w:pPr>
              <w:rPr>
                <w:sz w:val="24"/>
              </w:rPr>
            </w:pPr>
            <w:r>
              <w:rPr>
                <w:sz w:val="24"/>
              </w:rPr>
              <w:t>Повышение эффективности реализации полномочий в сфере земельно-имущественных отношений</w:t>
            </w:r>
          </w:p>
        </w:tc>
        <w:tc>
          <w:tcPr>
            <w:tcW w:type="dxa" w:w="4111"/>
            <w:tcBorders>
              <w:top w:color="000000" w:sz="4" w:val="single"/>
              <w:left w:color="000000" w:sz="4" w:val="single"/>
              <w:bottom w:color="000000" w:sz="4" w:val="single"/>
              <w:right w:color="000000" w:sz="4" w:val="single"/>
            </w:tcBorders>
          </w:tcPr>
          <w:p w14:paraId="75010000">
            <w:pPr>
              <w:rPr>
                <w:sz w:val="24"/>
              </w:rPr>
            </w:pPr>
          </w:p>
        </w:tc>
        <w:tc>
          <w:tcPr>
            <w:tcW w:type="dxa" w:w="1701"/>
            <w:tcBorders>
              <w:top w:color="000000" w:sz="4" w:val="single"/>
              <w:left w:color="000000" w:sz="4" w:val="single"/>
              <w:bottom w:color="000000" w:sz="4" w:val="single"/>
              <w:right w:color="000000" w:sz="4" w:val="single"/>
            </w:tcBorders>
          </w:tcPr>
          <w:p w14:paraId="76010000">
            <w:pPr>
              <w:widowControl w:val="1"/>
              <w:ind/>
              <w:jc w:val="center"/>
              <w:rPr>
                <w:sz w:val="24"/>
              </w:rPr>
            </w:pPr>
            <w:r>
              <w:rPr>
                <w:sz w:val="24"/>
              </w:rPr>
              <w:t>202</w:t>
            </w:r>
            <w:r>
              <w:rPr>
                <w:sz w:val="24"/>
              </w:rPr>
              <w:t>5</w:t>
            </w:r>
            <w:r>
              <w:rPr>
                <w:sz w:val="24"/>
              </w:rPr>
              <w:t>–</w:t>
            </w:r>
          </w:p>
          <w:p w14:paraId="77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78010000">
            <w:pPr>
              <w:widowControl w:val="1"/>
              <w:ind/>
              <w:jc w:val="center"/>
              <w:rPr>
                <w:sz w:val="24"/>
              </w:rPr>
            </w:pPr>
          </w:p>
        </w:tc>
        <w:tc>
          <w:tcPr>
            <w:tcW w:type="dxa" w:w="1417"/>
            <w:tcBorders>
              <w:top w:color="000000" w:sz="4" w:val="single"/>
              <w:left w:color="000000" w:sz="4" w:val="single"/>
              <w:bottom w:color="000000" w:sz="4" w:val="single"/>
              <w:right w:color="000000" w:sz="4" w:val="single"/>
            </w:tcBorders>
          </w:tcPr>
          <w:p w14:paraId="79010000">
            <w:pPr>
              <w:widowControl w:val="1"/>
              <w:ind/>
              <w:jc w:val="center"/>
              <w:rPr>
                <w:sz w:val="24"/>
              </w:rPr>
            </w:pPr>
          </w:p>
        </w:tc>
        <w:tc>
          <w:tcPr>
            <w:tcW w:type="dxa" w:w="1418"/>
            <w:tcBorders>
              <w:top w:color="000000" w:sz="4" w:val="single"/>
              <w:left w:color="000000" w:sz="4" w:val="single"/>
              <w:bottom w:color="000000" w:sz="4" w:val="single"/>
              <w:right w:color="000000" w:sz="4" w:val="single"/>
            </w:tcBorders>
          </w:tcPr>
          <w:p w14:paraId="7A010000">
            <w:pPr>
              <w:widowControl w:val="1"/>
              <w:ind/>
              <w:jc w:val="center"/>
              <w:rPr>
                <w:sz w:val="24"/>
              </w:rPr>
            </w:pPr>
          </w:p>
        </w:tc>
      </w:tr>
      <w:tr>
        <w:tc>
          <w:tcPr>
            <w:tcW w:type="dxa" w:w="996"/>
            <w:tcBorders>
              <w:top w:color="000000" w:sz="4" w:val="single"/>
              <w:left w:color="000000" w:sz="4" w:val="single"/>
              <w:bottom w:color="000000" w:sz="4" w:val="single"/>
              <w:right w:color="000000" w:sz="4" w:val="single"/>
            </w:tcBorders>
          </w:tcPr>
          <w:p w14:paraId="7B010000">
            <w:pPr>
              <w:widowControl w:val="1"/>
              <w:ind/>
              <w:jc w:val="center"/>
              <w:rPr>
                <w:sz w:val="24"/>
              </w:rPr>
            </w:pPr>
            <w:r>
              <w:rPr>
                <w:sz w:val="24"/>
              </w:rPr>
              <w:t>6.1</w:t>
            </w:r>
          </w:p>
        </w:tc>
        <w:tc>
          <w:tcPr>
            <w:tcW w:type="dxa" w:w="4250"/>
            <w:gridSpan w:val="2"/>
            <w:tcBorders>
              <w:top w:color="000000" w:sz="4" w:val="single"/>
              <w:left w:color="000000" w:sz="4" w:val="single"/>
              <w:bottom w:color="000000" w:sz="4" w:val="single"/>
              <w:right w:color="000000" w:sz="4" w:val="single"/>
            </w:tcBorders>
          </w:tcPr>
          <w:p w14:paraId="7C010000">
            <w:pPr>
              <w:rPr>
                <w:sz w:val="24"/>
              </w:rPr>
            </w:pPr>
            <w:r>
              <w:rPr>
                <w:sz w:val="24"/>
              </w:rPr>
              <w:t>Проведение инвентаризации муниципального имущества администрации Крапивинского муниципального округа с целью приватизации выявленного непрофильного имущества</w:t>
            </w:r>
          </w:p>
        </w:tc>
        <w:tc>
          <w:tcPr>
            <w:tcW w:type="dxa" w:w="4111"/>
            <w:tcBorders>
              <w:top w:color="000000" w:sz="4" w:val="single"/>
              <w:left w:color="000000" w:sz="4" w:val="single"/>
              <w:bottom w:color="000000" w:sz="4" w:val="single"/>
              <w:right w:color="000000" w:sz="4" w:val="single"/>
            </w:tcBorders>
          </w:tcPr>
          <w:p w14:paraId="7D010000">
            <w:pPr>
              <w:rPr>
                <w:sz w:val="24"/>
              </w:rPr>
            </w:pPr>
            <w:r>
              <w:rPr>
                <w:sz w:val="24"/>
              </w:rPr>
              <w:t>Комитет по управлению муниципальным имуществом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7E010000">
            <w:pPr>
              <w:widowControl w:val="1"/>
              <w:ind/>
              <w:jc w:val="center"/>
              <w:rPr>
                <w:sz w:val="24"/>
              </w:rPr>
            </w:pPr>
            <w:r>
              <w:rPr>
                <w:sz w:val="24"/>
              </w:rPr>
              <w:t>202</w:t>
            </w:r>
            <w:r>
              <w:rPr>
                <w:sz w:val="24"/>
              </w:rPr>
              <w:t>5</w:t>
            </w:r>
            <w:r>
              <w:rPr>
                <w:sz w:val="24"/>
              </w:rPr>
              <w:t>–</w:t>
            </w:r>
          </w:p>
          <w:p w14:paraId="7F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80010000">
            <w:pPr>
              <w:widowControl w:val="1"/>
              <w:ind/>
              <w:jc w:val="center"/>
              <w:rPr>
                <w:sz w:val="24"/>
              </w:rPr>
            </w:pPr>
            <w:r>
              <w:rPr>
                <w:sz w:val="24"/>
              </w:rPr>
              <w:t>50</w:t>
            </w:r>
            <w:r>
              <w:rPr>
                <w:sz w:val="24"/>
              </w:rPr>
              <w:t>0,0</w:t>
            </w:r>
          </w:p>
        </w:tc>
        <w:tc>
          <w:tcPr>
            <w:tcW w:type="dxa" w:w="1417"/>
            <w:tcBorders>
              <w:top w:color="000000" w:sz="4" w:val="single"/>
              <w:left w:color="000000" w:sz="4" w:val="single"/>
              <w:bottom w:color="000000" w:sz="4" w:val="single"/>
              <w:right w:color="000000" w:sz="4" w:val="single"/>
            </w:tcBorders>
          </w:tcPr>
          <w:p w14:paraId="81010000">
            <w:pPr>
              <w:widowControl w:val="1"/>
              <w:ind/>
              <w:jc w:val="center"/>
              <w:rPr>
                <w:sz w:val="24"/>
              </w:rPr>
            </w:pPr>
            <w:r>
              <w:rPr>
                <w:sz w:val="24"/>
              </w:rPr>
              <w:t>50</w:t>
            </w:r>
            <w:r>
              <w:rPr>
                <w:sz w:val="24"/>
              </w:rPr>
              <w:t>0,0</w:t>
            </w:r>
          </w:p>
        </w:tc>
        <w:tc>
          <w:tcPr>
            <w:tcW w:type="dxa" w:w="1418"/>
            <w:tcBorders>
              <w:top w:color="000000" w:sz="4" w:val="single"/>
              <w:left w:color="000000" w:sz="4" w:val="single"/>
              <w:bottom w:color="000000" w:sz="4" w:val="single"/>
              <w:right w:color="000000" w:sz="4" w:val="single"/>
            </w:tcBorders>
          </w:tcPr>
          <w:p w14:paraId="82010000">
            <w:pPr>
              <w:widowControl w:val="1"/>
              <w:ind/>
              <w:jc w:val="center"/>
              <w:rPr>
                <w:sz w:val="24"/>
              </w:rPr>
            </w:pPr>
            <w:r>
              <w:rPr>
                <w:sz w:val="24"/>
              </w:rPr>
              <w:t>50</w:t>
            </w:r>
            <w:r>
              <w:rPr>
                <w:sz w:val="24"/>
              </w:rPr>
              <w:t>0,0</w:t>
            </w:r>
          </w:p>
        </w:tc>
      </w:tr>
      <w:tr>
        <w:tc>
          <w:tcPr>
            <w:tcW w:type="dxa" w:w="996"/>
            <w:tcBorders>
              <w:top w:color="000000" w:sz="4" w:val="single"/>
              <w:left w:color="000000" w:sz="4" w:val="single"/>
              <w:bottom w:color="000000" w:sz="4" w:val="single"/>
              <w:right w:color="000000" w:sz="4" w:val="single"/>
            </w:tcBorders>
          </w:tcPr>
          <w:p w14:paraId="83010000">
            <w:pPr>
              <w:widowControl w:val="1"/>
              <w:ind/>
              <w:jc w:val="center"/>
              <w:rPr>
                <w:sz w:val="24"/>
              </w:rPr>
            </w:pPr>
            <w:r>
              <w:rPr>
                <w:sz w:val="24"/>
              </w:rPr>
              <w:t>6.2</w:t>
            </w:r>
          </w:p>
        </w:tc>
        <w:tc>
          <w:tcPr>
            <w:tcW w:type="dxa" w:w="4250"/>
            <w:gridSpan w:val="2"/>
            <w:tcBorders>
              <w:top w:color="000000" w:sz="4" w:val="single"/>
              <w:left w:color="000000" w:sz="4" w:val="single"/>
              <w:bottom w:color="000000" w:sz="4" w:val="single"/>
              <w:right w:color="000000" w:sz="4" w:val="single"/>
            </w:tcBorders>
          </w:tcPr>
          <w:p w14:paraId="84010000">
            <w:pPr>
              <w:rPr>
                <w:sz w:val="24"/>
              </w:rPr>
            </w:pPr>
            <w:r>
              <w:rPr>
                <w:sz w:val="24"/>
              </w:rPr>
              <w:t>Усиление претензионно-исковой деятельности к должникам по арендной плате за пользование земельными участками</w:t>
            </w:r>
          </w:p>
        </w:tc>
        <w:tc>
          <w:tcPr>
            <w:tcW w:type="dxa" w:w="4111"/>
            <w:tcBorders>
              <w:top w:color="000000" w:sz="4" w:val="single"/>
              <w:left w:color="000000" w:sz="4" w:val="single"/>
              <w:bottom w:color="000000" w:sz="4" w:val="single"/>
              <w:right w:color="000000" w:sz="4" w:val="single"/>
            </w:tcBorders>
          </w:tcPr>
          <w:p w14:paraId="85010000">
            <w:pPr>
              <w:rPr>
                <w:sz w:val="24"/>
              </w:rPr>
            </w:pPr>
            <w:r>
              <w:rPr>
                <w:sz w:val="24"/>
              </w:rPr>
              <w:t>Комитет по управлению муниципальным имуществом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86010000">
            <w:pPr>
              <w:widowControl w:val="1"/>
              <w:ind/>
              <w:jc w:val="center"/>
              <w:rPr>
                <w:sz w:val="24"/>
              </w:rPr>
            </w:pPr>
            <w:r>
              <w:rPr>
                <w:sz w:val="24"/>
              </w:rPr>
              <w:t>202</w:t>
            </w:r>
            <w:r>
              <w:rPr>
                <w:sz w:val="24"/>
              </w:rPr>
              <w:t>5</w:t>
            </w:r>
            <w:r>
              <w:rPr>
                <w:sz w:val="24"/>
              </w:rPr>
              <w:t>–</w:t>
            </w:r>
          </w:p>
          <w:p w14:paraId="87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88010000">
            <w:pPr>
              <w:widowControl w:val="1"/>
              <w:ind/>
              <w:jc w:val="center"/>
              <w:rPr>
                <w:sz w:val="24"/>
              </w:rPr>
            </w:pPr>
            <w:r>
              <w:rPr>
                <w:sz w:val="24"/>
              </w:rPr>
              <w:t>7</w:t>
            </w:r>
            <w:r>
              <w:rPr>
                <w:sz w:val="24"/>
              </w:rPr>
              <w:t>00,0</w:t>
            </w:r>
          </w:p>
        </w:tc>
        <w:tc>
          <w:tcPr>
            <w:tcW w:type="dxa" w:w="1417"/>
            <w:tcBorders>
              <w:top w:color="000000" w:sz="4" w:val="single"/>
              <w:left w:color="000000" w:sz="4" w:val="single"/>
              <w:bottom w:color="000000" w:sz="4" w:val="single"/>
              <w:right w:color="000000" w:sz="4" w:val="single"/>
            </w:tcBorders>
          </w:tcPr>
          <w:p w14:paraId="89010000">
            <w:pPr>
              <w:widowControl w:val="1"/>
              <w:ind/>
              <w:jc w:val="center"/>
              <w:rPr>
                <w:sz w:val="24"/>
              </w:rPr>
            </w:pPr>
            <w:r>
              <w:rPr>
                <w:sz w:val="24"/>
              </w:rPr>
              <w:t>7</w:t>
            </w:r>
            <w:r>
              <w:rPr>
                <w:sz w:val="24"/>
              </w:rPr>
              <w:t>00,0</w:t>
            </w:r>
          </w:p>
        </w:tc>
        <w:tc>
          <w:tcPr>
            <w:tcW w:type="dxa" w:w="1418"/>
            <w:tcBorders>
              <w:top w:color="000000" w:sz="4" w:val="single"/>
              <w:left w:color="000000" w:sz="4" w:val="single"/>
              <w:bottom w:color="000000" w:sz="4" w:val="single"/>
              <w:right w:color="000000" w:sz="4" w:val="single"/>
            </w:tcBorders>
          </w:tcPr>
          <w:p w14:paraId="8A010000">
            <w:pPr>
              <w:widowControl w:val="1"/>
              <w:ind/>
              <w:jc w:val="center"/>
              <w:rPr>
                <w:sz w:val="24"/>
              </w:rPr>
            </w:pPr>
            <w:r>
              <w:rPr>
                <w:sz w:val="24"/>
              </w:rPr>
              <w:t>7</w:t>
            </w:r>
            <w:r>
              <w:rPr>
                <w:sz w:val="24"/>
              </w:rPr>
              <w:t>00,0</w:t>
            </w:r>
          </w:p>
        </w:tc>
      </w:tr>
      <w:tr>
        <w:tc>
          <w:tcPr>
            <w:tcW w:type="dxa" w:w="996"/>
            <w:tcBorders>
              <w:top w:color="000000" w:sz="4" w:val="single"/>
              <w:left w:color="000000" w:sz="4" w:val="single"/>
              <w:bottom w:color="000000" w:sz="4" w:val="single"/>
              <w:right w:color="000000" w:sz="4" w:val="single"/>
            </w:tcBorders>
          </w:tcPr>
          <w:p w14:paraId="8B010000">
            <w:pPr>
              <w:widowControl w:val="1"/>
              <w:ind/>
              <w:jc w:val="center"/>
              <w:rPr>
                <w:sz w:val="24"/>
              </w:rPr>
            </w:pPr>
            <w:r>
              <w:rPr>
                <w:sz w:val="24"/>
              </w:rPr>
              <w:t>6.3</w:t>
            </w:r>
          </w:p>
        </w:tc>
        <w:tc>
          <w:tcPr>
            <w:tcW w:type="dxa" w:w="4250"/>
            <w:gridSpan w:val="2"/>
            <w:tcBorders>
              <w:top w:color="000000" w:sz="4" w:val="single"/>
              <w:left w:color="000000" w:sz="4" w:val="single"/>
              <w:bottom w:color="000000" w:sz="4" w:val="single"/>
              <w:right w:color="000000" w:sz="4" w:val="single"/>
            </w:tcBorders>
          </w:tcPr>
          <w:p w14:paraId="8C010000">
            <w:pPr>
              <w:rPr>
                <w:sz w:val="24"/>
              </w:rPr>
            </w:pPr>
            <w:r>
              <w:rPr>
                <w:sz w:val="24"/>
              </w:rPr>
              <w:t>Выявление земельных участков, используемых без оформления договорных отношений, и возмещение стоимости неосновательного обогащения</w:t>
            </w:r>
          </w:p>
        </w:tc>
        <w:tc>
          <w:tcPr>
            <w:tcW w:type="dxa" w:w="4111"/>
            <w:tcBorders>
              <w:top w:color="000000" w:sz="4" w:val="single"/>
              <w:left w:color="000000" w:sz="4" w:val="single"/>
              <w:bottom w:color="000000" w:sz="4" w:val="single"/>
              <w:right w:color="000000" w:sz="4" w:val="single"/>
            </w:tcBorders>
          </w:tcPr>
          <w:p w14:paraId="8D010000">
            <w:pPr>
              <w:rPr>
                <w:sz w:val="24"/>
              </w:rPr>
            </w:pPr>
            <w:r>
              <w:rPr>
                <w:sz w:val="24"/>
              </w:rPr>
              <w:t>Комитет по управлению муниципальным имуществом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8E010000">
            <w:pPr>
              <w:widowControl w:val="1"/>
              <w:ind/>
              <w:jc w:val="center"/>
              <w:rPr>
                <w:sz w:val="24"/>
              </w:rPr>
            </w:pPr>
            <w:r>
              <w:rPr>
                <w:sz w:val="24"/>
              </w:rPr>
              <w:t>202</w:t>
            </w:r>
            <w:r>
              <w:rPr>
                <w:sz w:val="24"/>
              </w:rPr>
              <w:t>5</w:t>
            </w:r>
            <w:r>
              <w:rPr>
                <w:sz w:val="24"/>
              </w:rPr>
              <w:t>–</w:t>
            </w:r>
          </w:p>
          <w:p w14:paraId="8F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90010000">
            <w:pPr>
              <w:widowControl w:val="1"/>
              <w:ind/>
              <w:jc w:val="center"/>
              <w:rPr>
                <w:sz w:val="24"/>
              </w:rPr>
            </w:pPr>
            <w:r>
              <w:rPr>
                <w:sz w:val="24"/>
              </w:rPr>
              <w:t>3</w:t>
            </w:r>
            <w:r>
              <w:rPr>
                <w:sz w:val="24"/>
              </w:rPr>
              <w:t>00,0</w:t>
            </w:r>
          </w:p>
        </w:tc>
        <w:tc>
          <w:tcPr>
            <w:tcW w:type="dxa" w:w="1417"/>
            <w:tcBorders>
              <w:top w:color="000000" w:sz="4" w:val="single"/>
              <w:left w:color="000000" w:sz="4" w:val="single"/>
              <w:bottom w:color="000000" w:sz="4" w:val="single"/>
              <w:right w:color="000000" w:sz="4" w:val="single"/>
            </w:tcBorders>
          </w:tcPr>
          <w:p w14:paraId="91010000">
            <w:pPr>
              <w:widowControl w:val="1"/>
              <w:ind/>
              <w:jc w:val="center"/>
              <w:rPr>
                <w:sz w:val="24"/>
              </w:rPr>
            </w:pPr>
            <w:r>
              <w:rPr>
                <w:sz w:val="24"/>
              </w:rPr>
              <w:t>3</w:t>
            </w:r>
            <w:r>
              <w:rPr>
                <w:sz w:val="24"/>
              </w:rPr>
              <w:t>00,0</w:t>
            </w:r>
          </w:p>
        </w:tc>
        <w:tc>
          <w:tcPr>
            <w:tcW w:type="dxa" w:w="1418"/>
            <w:tcBorders>
              <w:top w:color="000000" w:sz="4" w:val="single"/>
              <w:left w:color="000000" w:sz="4" w:val="single"/>
              <w:bottom w:color="000000" w:sz="4" w:val="single"/>
              <w:right w:color="000000" w:sz="4" w:val="single"/>
            </w:tcBorders>
          </w:tcPr>
          <w:p w14:paraId="92010000">
            <w:pPr>
              <w:widowControl w:val="1"/>
              <w:ind/>
              <w:jc w:val="center"/>
              <w:rPr>
                <w:sz w:val="24"/>
              </w:rPr>
            </w:pPr>
            <w:r>
              <w:rPr>
                <w:sz w:val="24"/>
              </w:rPr>
              <w:t>3</w:t>
            </w:r>
            <w:r>
              <w:rPr>
                <w:sz w:val="24"/>
              </w:rPr>
              <w:t>00,0</w:t>
            </w:r>
          </w:p>
        </w:tc>
      </w:tr>
      <w:tr>
        <w:tc>
          <w:tcPr>
            <w:tcW w:type="dxa" w:w="996"/>
            <w:tcBorders>
              <w:top w:color="000000" w:sz="4" w:val="single"/>
              <w:left w:color="000000" w:sz="4" w:val="single"/>
              <w:bottom w:color="000000" w:sz="4" w:val="single"/>
              <w:right w:color="000000" w:sz="4" w:val="single"/>
            </w:tcBorders>
          </w:tcPr>
          <w:p w14:paraId="93010000">
            <w:pPr>
              <w:widowControl w:val="1"/>
              <w:ind/>
              <w:jc w:val="center"/>
              <w:rPr>
                <w:sz w:val="24"/>
              </w:rPr>
            </w:pPr>
          </w:p>
        </w:tc>
        <w:tc>
          <w:tcPr>
            <w:tcW w:type="dxa" w:w="4250"/>
            <w:gridSpan w:val="2"/>
            <w:tcBorders>
              <w:top w:color="000000" w:sz="4" w:val="single"/>
              <w:left w:color="000000" w:sz="4" w:val="single"/>
              <w:bottom w:color="000000" w:sz="4" w:val="single"/>
              <w:right w:color="000000" w:sz="4" w:val="single"/>
            </w:tcBorders>
          </w:tcPr>
          <w:p w14:paraId="94010000">
            <w:pPr>
              <w:rPr>
                <w:b w:val="1"/>
                <w:sz w:val="23"/>
              </w:rPr>
            </w:pPr>
            <w:r>
              <w:rPr>
                <w:b w:val="1"/>
                <w:sz w:val="23"/>
              </w:rPr>
              <w:t xml:space="preserve">Бюджетный эффект мероприятий </w:t>
            </w:r>
            <w:r>
              <w:rPr>
                <w:b w:val="1"/>
                <w:sz w:val="23"/>
              </w:rPr>
              <w:br/>
            </w:r>
            <w:r>
              <w:rPr>
                <w:b w:val="1"/>
                <w:sz w:val="23"/>
              </w:rPr>
              <w:t>по увеличению доходов</w:t>
            </w:r>
          </w:p>
          <w:p w14:paraId="95010000">
            <w:pPr>
              <w:rPr>
                <w:b w:val="1"/>
                <w:sz w:val="23"/>
              </w:rPr>
            </w:pPr>
            <w:r>
              <w:rPr>
                <w:b w:val="1"/>
                <w:sz w:val="23"/>
              </w:rPr>
              <w:t>(нарастающим итогом)</w:t>
            </w:r>
          </w:p>
          <w:p w14:paraId="96010000">
            <w:pPr>
              <w:rPr>
                <w:b w:val="1"/>
                <w:sz w:val="23"/>
              </w:rPr>
            </w:pPr>
          </w:p>
        </w:tc>
        <w:tc>
          <w:tcPr>
            <w:tcW w:type="dxa" w:w="4111"/>
            <w:tcBorders>
              <w:top w:color="000000" w:sz="4" w:val="single"/>
              <w:left w:color="000000" w:sz="4" w:val="single"/>
              <w:bottom w:color="000000" w:sz="4" w:val="single"/>
              <w:right w:color="000000" w:sz="4" w:val="single"/>
            </w:tcBorders>
          </w:tcPr>
          <w:p w14:paraId="97010000">
            <w:pPr>
              <w:rPr>
                <w:b w:val="1"/>
                <w:sz w:val="23"/>
              </w:rPr>
            </w:pPr>
          </w:p>
        </w:tc>
        <w:tc>
          <w:tcPr>
            <w:tcW w:type="dxa" w:w="1701"/>
            <w:tcBorders>
              <w:top w:color="000000" w:sz="4" w:val="single"/>
              <w:left w:color="000000" w:sz="4" w:val="single"/>
              <w:bottom w:color="000000" w:sz="4" w:val="single"/>
              <w:right w:color="000000" w:sz="4" w:val="single"/>
            </w:tcBorders>
          </w:tcPr>
          <w:p w14:paraId="98010000">
            <w:pPr>
              <w:widowControl w:val="1"/>
              <w:ind/>
              <w:jc w:val="center"/>
              <w:rPr>
                <w:b w:val="1"/>
                <w:sz w:val="23"/>
              </w:rPr>
            </w:pPr>
          </w:p>
        </w:tc>
        <w:tc>
          <w:tcPr>
            <w:tcW w:type="dxa" w:w="1559"/>
            <w:tcBorders>
              <w:top w:color="000000" w:sz="4" w:val="single"/>
              <w:left w:color="000000" w:sz="4" w:val="single"/>
              <w:bottom w:color="000000" w:sz="4" w:val="single"/>
              <w:right w:color="000000" w:sz="4" w:val="single"/>
            </w:tcBorders>
          </w:tcPr>
          <w:p w14:paraId="99010000">
            <w:pPr>
              <w:widowControl w:val="1"/>
              <w:ind/>
              <w:jc w:val="center"/>
              <w:rPr>
                <w:b w:val="1"/>
                <w:sz w:val="24"/>
              </w:rPr>
            </w:pPr>
            <w:r>
              <w:rPr>
                <w:b w:val="1"/>
                <w:sz w:val="24"/>
              </w:rPr>
              <w:t>6 335,0</w:t>
            </w:r>
          </w:p>
        </w:tc>
        <w:tc>
          <w:tcPr>
            <w:tcW w:type="dxa" w:w="1417"/>
            <w:tcBorders>
              <w:top w:color="000000" w:sz="4" w:val="single"/>
              <w:left w:color="000000" w:sz="4" w:val="single"/>
              <w:bottom w:color="000000" w:sz="4" w:val="single"/>
              <w:right w:color="000000" w:sz="4" w:val="single"/>
            </w:tcBorders>
          </w:tcPr>
          <w:p w14:paraId="9A010000">
            <w:pPr>
              <w:widowControl w:val="1"/>
              <w:ind/>
              <w:jc w:val="center"/>
              <w:rPr>
                <w:b w:val="1"/>
                <w:sz w:val="24"/>
              </w:rPr>
            </w:pPr>
            <w:r>
              <w:rPr>
                <w:b w:val="1"/>
                <w:sz w:val="24"/>
              </w:rPr>
              <w:t>6 335,0</w:t>
            </w:r>
          </w:p>
        </w:tc>
        <w:tc>
          <w:tcPr>
            <w:tcW w:type="dxa" w:w="1418"/>
            <w:tcBorders>
              <w:top w:color="000000" w:sz="4" w:val="single"/>
              <w:left w:color="000000" w:sz="4" w:val="single"/>
              <w:bottom w:color="000000" w:sz="4" w:val="single"/>
              <w:right w:color="000000" w:sz="4" w:val="single"/>
            </w:tcBorders>
          </w:tcPr>
          <w:p w14:paraId="9B010000">
            <w:pPr>
              <w:widowControl w:val="1"/>
              <w:ind/>
              <w:jc w:val="center"/>
              <w:rPr>
                <w:b w:val="1"/>
                <w:sz w:val="24"/>
              </w:rPr>
            </w:pPr>
            <w:r>
              <w:rPr>
                <w:b w:val="1"/>
                <w:sz w:val="24"/>
              </w:rPr>
              <w:t>6 335,0</w:t>
            </w:r>
          </w:p>
        </w:tc>
      </w:tr>
      <w:tr>
        <w:tc>
          <w:tcPr>
            <w:tcW w:type="dxa" w:w="996"/>
            <w:tcBorders>
              <w:top w:color="000000" w:sz="4" w:val="single"/>
              <w:left w:color="000000" w:sz="4" w:val="single"/>
              <w:bottom w:color="000000" w:sz="4" w:val="single"/>
              <w:right w:color="000000" w:sz="4" w:val="single"/>
            </w:tcBorders>
          </w:tcPr>
          <w:p w14:paraId="9C010000">
            <w:pPr>
              <w:widowControl w:val="1"/>
              <w:ind/>
              <w:jc w:val="center"/>
              <w:rPr>
                <w:sz w:val="24"/>
              </w:rPr>
            </w:pPr>
            <w:r>
              <w:rPr>
                <w:sz w:val="24"/>
              </w:rPr>
              <w:t>7</w:t>
            </w:r>
          </w:p>
        </w:tc>
        <w:tc>
          <w:tcPr>
            <w:tcW w:type="dxa" w:w="4250"/>
            <w:gridSpan w:val="2"/>
            <w:tcBorders>
              <w:top w:color="000000" w:sz="4" w:val="single"/>
              <w:left w:color="000000" w:sz="4" w:val="single"/>
              <w:bottom w:color="000000" w:sz="4" w:val="single"/>
              <w:right w:color="000000" w:sz="4" w:val="single"/>
            </w:tcBorders>
            <w:vAlign w:val="center"/>
          </w:tcPr>
          <w:p w14:paraId="9D010000">
            <w:pPr>
              <w:rPr>
                <w:sz w:val="24"/>
              </w:rPr>
            </w:pPr>
            <w:r>
              <w:rPr>
                <w:sz w:val="24"/>
              </w:rPr>
              <w:t>Оптимизация расходов на муниципальное управление</w:t>
            </w:r>
          </w:p>
        </w:tc>
        <w:tc>
          <w:tcPr>
            <w:tcW w:type="dxa" w:w="4111"/>
            <w:tcBorders>
              <w:top w:color="000000" w:sz="4" w:val="single"/>
              <w:left w:color="000000" w:sz="4" w:val="single"/>
              <w:bottom w:color="000000" w:sz="4" w:val="single"/>
              <w:right w:color="000000" w:sz="4" w:val="single"/>
            </w:tcBorders>
          </w:tcPr>
          <w:p w14:paraId="9E010000">
            <w:pPr>
              <w:rPr>
                <w:sz w:val="24"/>
              </w:rPr>
            </w:pPr>
          </w:p>
        </w:tc>
        <w:tc>
          <w:tcPr>
            <w:tcW w:type="dxa" w:w="1701"/>
            <w:tcBorders>
              <w:top w:color="000000" w:sz="4" w:val="single"/>
              <w:left w:color="000000" w:sz="4" w:val="single"/>
              <w:bottom w:color="000000" w:sz="4" w:val="single"/>
              <w:right w:color="000000" w:sz="4" w:val="single"/>
            </w:tcBorders>
          </w:tcPr>
          <w:p w14:paraId="9F01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A0010000">
            <w:pPr>
              <w:widowControl w:val="1"/>
              <w:ind/>
              <w:jc w:val="center"/>
              <w:rPr>
                <w:sz w:val="24"/>
              </w:rPr>
            </w:pPr>
          </w:p>
        </w:tc>
        <w:tc>
          <w:tcPr>
            <w:tcW w:type="dxa" w:w="1417"/>
            <w:tcBorders>
              <w:top w:color="000000" w:sz="4" w:val="single"/>
              <w:left w:color="000000" w:sz="4" w:val="single"/>
              <w:bottom w:color="000000" w:sz="4" w:val="single"/>
              <w:right w:color="000000" w:sz="4" w:val="single"/>
            </w:tcBorders>
          </w:tcPr>
          <w:p w14:paraId="A1010000">
            <w:pPr>
              <w:rPr>
                <w:sz w:val="24"/>
              </w:rPr>
            </w:pPr>
          </w:p>
        </w:tc>
        <w:tc>
          <w:tcPr>
            <w:tcW w:type="dxa" w:w="1418"/>
            <w:tcBorders>
              <w:top w:color="000000" w:sz="4" w:val="single"/>
              <w:left w:color="000000" w:sz="4" w:val="single"/>
              <w:bottom w:color="000000" w:sz="4" w:val="single"/>
              <w:right w:color="000000" w:sz="4" w:val="single"/>
            </w:tcBorders>
          </w:tcPr>
          <w:p w14:paraId="A2010000">
            <w:pPr>
              <w:rPr>
                <w:sz w:val="24"/>
              </w:rPr>
            </w:pPr>
          </w:p>
        </w:tc>
      </w:tr>
      <w:tr>
        <w:tc>
          <w:tcPr>
            <w:tcW w:type="dxa" w:w="996"/>
            <w:tcBorders>
              <w:top w:color="000000" w:sz="4" w:val="single"/>
              <w:left w:color="000000" w:sz="4" w:val="single"/>
              <w:bottom w:color="000000" w:sz="4" w:val="single"/>
              <w:right w:color="000000" w:sz="4" w:val="single"/>
            </w:tcBorders>
          </w:tcPr>
          <w:p w14:paraId="A3010000">
            <w:pPr>
              <w:widowControl w:val="1"/>
              <w:ind/>
              <w:jc w:val="center"/>
              <w:rPr>
                <w:sz w:val="24"/>
              </w:rPr>
            </w:pPr>
            <w:r>
              <w:rPr>
                <w:sz w:val="24"/>
              </w:rPr>
              <w:t>7.1</w:t>
            </w:r>
          </w:p>
        </w:tc>
        <w:tc>
          <w:tcPr>
            <w:tcW w:type="dxa" w:w="4250"/>
            <w:gridSpan w:val="2"/>
            <w:tcBorders>
              <w:top w:color="000000" w:sz="4" w:val="single"/>
              <w:left w:color="000000" w:sz="4" w:val="single"/>
              <w:bottom w:color="000000" w:sz="4" w:val="single"/>
              <w:right w:color="000000" w:sz="4" w:val="single"/>
            </w:tcBorders>
          </w:tcPr>
          <w:p w14:paraId="A4010000">
            <w:pPr>
              <w:rPr>
                <w:sz w:val="24"/>
              </w:rPr>
            </w:pPr>
            <w:r>
              <w:rPr>
                <w:sz w:val="24"/>
              </w:rPr>
              <w:t>Контроль за соблюдением органами местного самоуправления Крапивинского муниципального округа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установленных постановлением Правительства Крапивинского муниципального округа от 22.12.2021 № 767</w:t>
            </w:r>
          </w:p>
        </w:tc>
        <w:tc>
          <w:tcPr>
            <w:tcW w:type="dxa" w:w="4111"/>
            <w:tcBorders>
              <w:top w:color="000000" w:sz="4" w:val="single"/>
              <w:left w:color="000000" w:sz="4" w:val="single"/>
              <w:bottom w:color="000000" w:sz="4" w:val="single"/>
              <w:right w:color="000000" w:sz="4" w:val="single"/>
            </w:tcBorders>
          </w:tcPr>
          <w:p w14:paraId="A5010000">
            <w:pPr>
              <w:rPr>
                <w:sz w:val="24"/>
              </w:rPr>
            </w:pPr>
            <w:r>
              <w:rPr>
                <w:sz w:val="24"/>
              </w:rPr>
              <w:t xml:space="preserve">Финансовое управление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A6010000">
            <w:pPr>
              <w:widowControl w:val="1"/>
              <w:ind/>
              <w:jc w:val="center"/>
              <w:rPr>
                <w:sz w:val="24"/>
              </w:rPr>
            </w:pPr>
            <w:r>
              <w:rPr>
                <w:sz w:val="24"/>
              </w:rPr>
              <w:t>202</w:t>
            </w:r>
            <w:r>
              <w:rPr>
                <w:sz w:val="24"/>
              </w:rPr>
              <w:t>5</w:t>
            </w:r>
            <w:r>
              <w:rPr>
                <w:sz w:val="24"/>
              </w:rPr>
              <w:t>–</w:t>
            </w:r>
          </w:p>
          <w:p w14:paraId="A7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A8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A9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AA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AB010000">
            <w:pPr>
              <w:widowControl w:val="1"/>
              <w:ind/>
              <w:jc w:val="center"/>
              <w:rPr>
                <w:sz w:val="24"/>
              </w:rPr>
            </w:pPr>
            <w:r>
              <w:rPr>
                <w:sz w:val="24"/>
              </w:rPr>
              <w:t>8</w:t>
            </w:r>
          </w:p>
        </w:tc>
        <w:tc>
          <w:tcPr>
            <w:tcW w:type="dxa" w:w="4250"/>
            <w:gridSpan w:val="2"/>
            <w:tcBorders>
              <w:top w:color="000000" w:sz="4" w:val="single"/>
              <w:left w:color="000000" w:sz="4" w:val="single"/>
              <w:bottom w:color="000000" w:sz="4" w:val="single"/>
              <w:right w:color="000000" w:sz="4" w:val="single"/>
            </w:tcBorders>
          </w:tcPr>
          <w:p w14:paraId="AC010000">
            <w:pPr>
              <w:rPr>
                <w:sz w:val="24"/>
              </w:rPr>
            </w:pPr>
            <w:r>
              <w:rPr>
                <w:sz w:val="24"/>
              </w:rPr>
              <w:t>Утверждение плана 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областного бюджета, в том числе предусматривающего мероприятия по исключению дублирования мер, обеспечение которых осуществляется за счет средств федерального бюджета</w:t>
            </w:r>
          </w:p>
        </w:tc>
        <w:tc>
          <w:tcPr>
            <w:tcW w:type="dxa" w:w="4111"/>
            <w:tcBorders>
              <w:top w:color="000000" w:sz="4" w:val="single"/>
              <w:left w:color="000000" w:sz="4" w:val="single"/>
              <w:bottom w:color="000000" w:sz="4" w:val="single"/>
              <w:right w:color="000000" w:sz="4" w:val="single"/>
            </w:tcBorders>
          </w:tcPr>
          <w:p w14:paraId="AD010000">
            <w:pPr>
              <w:rPr>
                <w:sz w:val="24"/>
              </w:rPr>
            </w:pPr>
          </w:p>
        </w:tc>
        <w:tc>
          <w:tcPr>
            <w:tcW w:type="dxa" w:w="1701"/>
            <w:tcBorders>
              <w:top w:color="000000" w:sz="4" w:val="single"/>
              <w:left w:color="000000" w:sz="4" w:val="single"/>
              <w:bottom w:color="000000" w:sz="4" w:val="single"/>
              <w:right w:color="000000" w:sz="4" w:val="single"/>
            </w:tcBorders>
          </w:tcPr>
          <w:p w14:paraId="AE01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AF010000">
            <w:pPr>
              <w:widowControl w:val="1"/>
              <w:ind/>
              <w:jc w:val="center"/>
              <w:rPr>
                <w:sz w:val="24"/>
              </w:rPr>
            </w:pPr>
          </w:p>
        </w:tc>
        <w:tc>
          <w:tcPr>
            <w:tcW w:type="dxa" w:w="1417"/>
            <w:tcBorders>
              <w:top w:color="000000" w:sz="4" w:val="single"/>
              <w:left w:color="000000" w:sz="4" w:val="single"/>
              <w:bottom w:color="000000" w:sz="4" w:val="single"/>
              <w:right w:color="000000" w:sz="4" w:val="single"/>
            </w:tcBorders>
          </w:tcPr>
          <w:p w14:paraId="B0010000">
            <w:pPr>
              <w:widowControl w:val="1"/>
              <w:ind/>
              <w:jc w:val="center"/>
              <w:rPr>
                <w:sz w:val="24"/>
              </w:rPr>
            </w:pPr>
          </w:p>
        </w:tc>
        <w:tc>
          <w:tcPr>
            <w:tcW w:type="dxa" w:w="1418"/>
            <w:tcBorders>
              <w:top w:color="000000" w:sz="4" w:val="single"/>
              <w:left w:color="000000" w:sz="4" w:val="single"/>
              <w:bottom w:color="000000" w:sz="4" w:val="single"/>
              <w:right w:color="000000" w:sz="4" w:val="single"/>
            </w:tcBorders>
          </w:tcPr>
          <w:p w14:paraId="B1010000">
            <w:pPr>
              <w:widowControl w:val="1"/>
              <w:ind/>
              <w:jc w:val="center"/>
              <w:rPr>
                <w:sz w:val="24"/>
              </w:rPr>
            </w:pPr>
          </w:p>
        </w:tc>
      </w:tr>
      <w:tr>
        <w:tc>
          <w:tcPr>
            <w:tcW w:type="dxa" w:w="996"/>
            <w:tcBorders>
              <w:top w:color="000000" w:sz="4" w:val="single"/>
              <w:left w:color="000000" w:sz="4" w:val="single"/>
              <w:bottom w:color="000000" w:sz="4" w:val="single"/>
              <w:right w:color="000000" w:sz="4" w:val="single"/>
            </w:tcBorders>
          </w:tcPr>
          <w:p w14:paraId="B2010000">
            <w:pPr>
              <w:widowControl w:val="1"/>
              <w:ind/>
              <w:jc w:val="center"/>
              <w:rPr>
                <w:sz w:val="24"/>
              </w:rPr>
            </w:pPr>
            <w:r>
              <w:rPr>
                <w:sz w:val="24"/>
              </w:rPr>
              <w:t>8.1</w:t>
            </w:r>
          </w:p>
        </w:tc>
        <w:tc>
          <w:tcPr>
            <w:tcW w:type="dxa" w:w="4250"/>
            <w:gridSpan w:val="2"/>
            <w:tcBorders>
              <w:top w:color="000000" w:sz="4" w:val="single"/>
              <w:left w:color="000000" w:sz="4" w:val="single"/>
              <w:bottom w:color="000000" w:sz="4" w:val="single"/>
              <w:right w:color="000000" w:sz="4" w:val="single"/>
            </w:tcBorders>
          </w:tcPr>
          <w:p w14:paraId="B3010000">
            <w:pPr>
              <w:rPr>
                <w:sz w:val="24"/>
              </w:rPr>
            </w:pPr>
            <w:r>
              <w:rPr>
                <w:sz w:val="24"/>
              </w:rPr>
              <w:t>Проведение 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областного бюджета, в том числе предусматривающего мероприятия по исключению дублирования мер, обеспечение которых осуществляется за счет средств федерального бюджета</w:t>
            </w:r>
          </w:p>
        </w:tc>
        <w:tc>
          <w:tcPr>
            <w:tcW w:type="dxa" w:w="4111"/>
            <w:tcBorders>
              <w:top w:color="000000" w:sz="4" w:val="single"/>
              <w:left w:color="000000" w:sz="4" w:val="single"/>
              <w:bottom w:color="000000" w:sz="4" w:val="single"/>
              <w:right w:color="000000" w:sz="4" w:val="single"/>
            </w:tcBorders>
          </w:tcPr>
          <w:p w14:paraId="B4010000">
            <w:pPr>
              <w:widowControl w:val="1"/>
              <w:spacing w:line="228" w:lineRule="auto"/>
              <w:ind/>
              <w:rPr>
                <w:sz w:val="24"/>
              </w:rPr>
            </w:pPr>
            <w:r>
              <w:rPr>
                <w:sz w:val="24"/>
              </w:rPr>
              <w:t xml:space="preserve">Управление образования администрации Крапивинского муниципального округа; </w:t>
            </w:r>
          </w:p>
          <w:p w14:paraId="B5010000">
            <w:pPr>
              <w:rPr>
                <w:sz w:val="24"/>
              </w:rPr>
            </w:pPr>
            <w:r>
              <w:rPr>
                <w:sz w:val="24"/>
              </w:rPr>
              <w:t>Управление социальной защиты населения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B6010000">
            <w:pPr>
              <w:widowControl w:val="1"/>
              <w:ind/>
              <w:jc w:val="center"/>
              <w:rPr>
                <w:sz w:val="24"/>
              </w:rPr>
            </w:pPr>
            <w:r>
              <w:rPr>
                <w:sz w:val="24"/>
              </w:rPr>
              <w:t>Ежегодно до 1 июля</w:t>
            </w:r>
          </w:p>
        </w:tc>
        <w:tc>
          <w:tcPr>
            <w:tcW w:type="dxa" w:w="1559"/>
            <w:tcBorders>
              <w:top w:color="000000" w:sz="4" w:val="single"/>
              <w:left w:color="000000" w:sz="4" w:val="single"/>
              <w:bottom w:color="000000" w:sz="4" w:val="single"/>
              <w:right w:color="000000" w:sz="4" w:val="single"/>
            </w:tcBorders>
          </w:tcPr>
          <w:p w14:paraId="B7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B8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B9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BA010000">
            <w:pPr>
              <w:widowControl w:val="1"/>
              <w:ind/>
              <w:jc w:val="center"/>
              <w:rPr>
                <w:sz w:val="24"/>
              </w:rPr>
            </w:pPr>
            <w:r>
              <w:rPr>
                <w:sz w:val="24"/>
              </w:rPr>
              <w:t>9</w:t>
            </w:r>
          </w:p>
        </w:tc>
        <w:tc>
          <w:tcPr>
            <w:tcW w:type="dxa" w:w="4250"/>
            <w:gridSpan w:val="2"/>
            <w:tcBorders>
              <w:top w:color="000000" w:sz="4" w:val="single"/>
              <w:left w:color="000000" w:sz="4" w:val="single"/>
              <w:bottom w:color="000000" w:sz="4" w:val="single"/>
              <w:right w:color="000000" w:sz="4" w:val="single"/>
            </w:tcBorders>
          </w:tcPr>
          <w:p w14:paraId="BB010000">
            <w:pPr>
              <w:rPr>
                <w:sz w:val="24"/>
              </w:rPr>
            </w:pPr>
            <w:r>
              <w:rPr>
                <w:sz w:val="24"/>
              </w:rPr>
              <w:t>Увеличение доходов от оказания платных услуг с направлением дополнительных доходов на расходы муниципальных бюджетных и автономных учреждений</w:t>
            </w:r>
            <w:r>
              <w:rPr>
                <w:sz w:val="24"/>
              </w:rPr>
              <w:t xml:space="preserve"> (прирост к уровню предыдущего года)</w:t>
            </w:r>
          </w:p>
        </w:tc>
        <w:tc>
          <w:tcPr>
            <w:tcW w:type="dxa" w:w="4111"/>
            <w:tcBorders>
              <w:top w:color="000000" w:sz="4" w:val="single"/>
              <w:left w:color="000000" w:sz="4" w:val="single"/>
              <w:bottom w:color="000000" w:sz="4" w:val="single"/>
              <w:right w:color="000000" w:sz="4" w:val="single"/>
            </w:tcBorders>
          </w:tcPr>
          <w:p w14:paraId="BC010000">
            <w:pPr>
              <w:rPr>
                <w:sz w:val="24"/>
              </w:rPr>
            </w:pPr>
            <w:r>
              <w:rPr>
                <w:sz w:val="24"/>
              </w:rPr>
              <w:t xml:space="preserve">ОМСУ Крапивинского муниципального округа, имеющие </w:t>
            </w:r>
            <w:r>
              <w:rPr>
                <w:sz w:val="24"/>
              </w:rPr>
              <w:t xml:space="preserve">бюджетные и автономные </w:t>
            </w:r>
            <w:r>
              <w:rPr>
                <w:sz w:val="24"/>
              </w:rPr>
              <w:t xml:space="preserve">подведомственные учреждения </w:t>
            </w:r>
          </w:p>
        </w:tc>
        <w:tc>
          <w:tcPr>
            <w:tcW w:type="dxa" w:w="1701"/>
            <w:tcBorders>
              <w:top w:color="000000" w:sz="4" w:val="single"/>
              <w:left w:color="000000" w:sz="4" w:val="single"/>
              <w:bottom w:color="000000" w:sz="4" w:val="single"/>
              <w:right w:color="000000" w:sz="4" w:val="single"/>
            </w:tcBorders>
          </w:tcPr>
          <w:p w14:paraId="BD010000">
            <w:pPr>
              <w:widowControl w:val="1"/>
              <w:ind/>
              <w:jc w:val="center"/>
              <w:rPr>
                <w:sz w:val="24"/>
              </w:rPr>
            </w:pPr>
            <w:r>
              <w:rPr>
                <w:sz w:val="24"/>
              </w:rPr>
              <w:t>202</w:t>
            </w:r>
            <w:r>
              <w:rPr>
                <w:sz w:val="24"/>
              </w:rPr>
              <w:t>5</w:t>
            </w:r>
            <w:r>
              <w:rPr>
                <w:sz w:val="24"/>
              </w:rPr>
              <w:t>–</w:t>
            </w:r>
          </w:p>
          <w:p w14:paraId="BE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BF010000">
            <w:pPr>
              <w:widowControl w:val="1"/>
              <w:ind/>
              <w:jc w:val="center"/>
              <w:rPr>
                <w:sz w:val="24"/>
              </w:rPr>
            </w:pPr>
            <w:r>
              <w:rPr>
                <w:sz w:val="24"/>
              </w:rPr>
              <w:t>5</w:t>
            </w:r>
            <w:r>
              <w:rPr>
                <w:sz w:val="24"/>
              </w:rPr>
              <w:t>0,0</w:t>
            </w:r>
          </w:p>
        </w:tc>
        <w:tc>
          <w:tcPr>
            <w:tcW w:type="dxa" w:w="1417"/>
            <w:tcBorders>
              <w:top w:color="000000" w:sz="4" w:val="single"/>
              <w:left w:color="000000" w:sz="4" w:val="single"/>
              <w:bottom w:color="000000" w:sz="4" w:val="single"/>
              <w:right w:color="000000" w:sz="4" w:val="single"/>
            </w:tcBorders>
          </w:tcPr>
          <w:p w14:paraId="C0010000">
            <w:pPr>
              <w:widowControl w:val="1"/>
              <w:ind/>
              <w:jc w:val="center"/>
              <w:rPr>
                <w:sz w:val="24"/>
              </w:rPr>
            </w:pPr>
            <w:r>
              <w:rPr>
                <w:sz w:val="24"/>
              </w:rPr>
              <w:t>2</w:t>
            </w:r>
            <w:r>
              <w:rPr>
                <w:sz w:val="24"/>
              </w:rPr>
              <w:t>0</w:t>
            </w:r>
            <w:r>
              <w:rPr>
                <w:sz w:val="24"/>
              </w:rPr>
              <w:t>0,0</w:t>
            </w:r>
          </w:p>
        </w:tc>
        <w:tc>
          <w:tcPr>
            <w:tcW w:type="dxa" w:w="1418"/>
            <w:tcBorders>
              <w:top w:color="000000" w:sz="4" w:val="single"/>
              <w:left w:color="000000" w:sz="4" w:val="single"/>
              <w:bottom w:color="000000" w:sz="4" w:val="single"/>
              <w:right w:color="000000" w:sz="4" w:val="single"/>
            </w:tcBorders>
          </w:tcPr>
          <w:p w14:paraId="C1010000">
            <w:pPr>
              <w:widowControl w:val="1"/>
              <w:ind/>
              <w:jc w:val="center"/>
              <w:rPr>
                <w:sz w:val="24"/>
              </w:rPr>
            </w:pPr>
            <w:r>
              <w:rPr>
                <w:sz w:val="24"/>
              </w:rPr>
              <w:t>30</w:t>
            </w:r>
            <w:r>
              <w:rPr>
                <w:sz w:val="24"/>
              </w:rPr>
              <w:t>0,0</w:t>
            </w:r>
          </w:p>
        </w:tc>
      </w:tr>
      <w:tr>
        <w:tc>
          <w:tcPr>
            <w:tcW w:type="dxa" w:w="996"/>
            <w:tcBorders>
              <w:top w:color="000000" w:sz="4" w:val="single"/>
              <w:left w:color="000000" w:sz="4" w:val="single"/>
              <w:bottom w:color="000000" w:sz="4" w:val="single"/>
              <w:right w:color="000000" w:sz="4" w:val="single"/>
            </w:tcBorders>
          </w:tcPr>
          <w:p w14:paraId="C2010000">
            <w:pPr>
              <w:widowControl w:val="1"/>
              <w:ind/>
              <w:jc w:val="center"/>
              <w:rPr>
                <w:sz w:val="24"/>
              </w:rPr>
            </w:pPr>
            <w:r>
              <w:rPr>
                <w:sz w:val="24"/>
              </w:rPr>
              <w:t>10</w:t>
            </w:r>
          </w:p>
        </w:tc>
        <w:tc>
          <w:tcPr>
            <w:tcW w:type="dxa" w:w="4250"/>
            <w:gridSpan w:val="2"/>
            <w:tcBorders>
              <w:top w:color="000000" w:sz="4" w:val="single"/>
              <w:left w:color="000000" w:sz="4" w:val="single"/>
              <w:bottom w:color="000000" w:sz="4" w:val="single"/>
              <w:right w:color="000000" w:sz="4" w:val="single"/>
            </w:tcBorders>
          </w:tcPr>
          <w:p w14:paraId="C3010000">
            <w:pPr>
              <w:rPr>
                <w:sz w:val="24"/>
              </w:rPr>
            </w:pPr>
            <w:r>
              <w:rPr>
                <w:sz w:val="24"/>
              </w:rPr>
              <w:t>Соблюдение показателей оптимизации численности отдельных категорий работников в соответствии с утвержденными планами мероприятий («дорожными картами») повышения эффективности сферы образования, культуры и социального обслуживания населения</w:t>
            </w:r>
          </w:p>
        </w:tc>
        <w:tc>
          <w:tcPr>
            <w:tcW w:type="dxa" w:w="4111"/>
            <w:tcBorders>
              <w:top w:color="000000" w:sz="4" w:val="single"/>
              <w:left w:color="000000" w:sz="4" w:val="single"/>
              <w:bottom w:color="000000" w:sz="4" w:val="single"/>
              <w:right w:color="000000" w:sz="4" w:val="single"/>
            </w:tcBorders>
          </w:tcPr>
          <w:p w14:paraId="C4010000">
            <w:pPr>
              <w:rPr>
                <w:sz w:val="24"/>
              </w:rPr>
            </w:pPr>
            <w:r>
              <w:rPr>
                <w:sz w:val="24"/>
              </w:rPr>
              <w:t>ОМСУ Крапивинского муниципального округа, имеющие подведомственные учреждения образования, культуры и социальной защиты</w:t>
            </w:r>
          </w:p>
        </w:tc>
        <w:tc>
          <w:tcPr>
            <w:tcW w:type="dxa" w:w="1701"/>
            <w:tcBorders>
              <w:top w:color="000000" w:sz="4" w:val="single"/>
              <w:left w:color="000000" w:sz="4" w:val="single"/>
              <w:bottom w:color="000000" w:sz="4" w:val="single"/>
              <w:right w:color="000000" w:sz="4" w:val="single"/>
            </w:tcBorders>
          </w:tcPr>
          <w:p w14:paraId="C5010000">
            <w:pPr>
              <w:widowControl w:val="1"/>
              <w:ind/>
              <w:jc w:val="center"/>
              <w:rPr>
                <w:sz w:val="24"/>
              </w:rPr>
            </w:pPr>
            <w:r>
              <w:rPr>
                <w:sz w:val="24"/>
              </w:rPr>
              <w:t>202</w:t>
            </w:r>
            <w:r>
              <w:rPr>
                <w:sz w:val="24"/>
              </w:rPr>
              <w:t>5</w:t>
            </w:r>
            <w:r>
              <w:rPr>
                <w:sz w:val="24"/>
              </w:rPr>
              <w:t>–</w:t>
            </w:r>
          </w:p>
          <w:p w14:paraId="C6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C7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C8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C9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CA010000">
            <w:pPr>
              <w:widowControl w:val="1"/>
              <w:ind/>
              <w:jc w:val="center"/>
              <w:rPr>
                <w:sz w:val="24"/>
              </w:rPr>
            </w:pPr>
            <w:r>
              <w:rPr>
                <w:sz w:val="24"/>
              </w:rPr>
              <w:t>11</w:t>
            </w:r>
          </w:p>
        </w:tc>
        <w:tc>
          <w:tcPr>
            <w:tcW w:type="dxa" w:w="4250"/>
            <w:gridSpan w:val="2"/>
            <w:tcBorders>
              <w:top w:color="000000" w:sz="4" w:val="single"/>
              <w:left w:color="000000" w:sz="4" w:val="single"/>
              <w:bottom w:color="000000" w:sz="4" w:val="single"/>
              <w:right w:color="000000" w:sz="4" w:val="single"/>
            </w:tcBorders>
          </w:tcPr>
          <w:p w14:paraId="CB010000">
            <w:pPr>
              <w:rPr>
                <w:sz w:val="24"/>
              </w:rPr>
            </w:pPr>
            <w:r>
              <w:rPr>
                <w:sz w:val="24"/>
              </w:rPr>
              <w:t>Реорганизация бюджетной сети муниципальных учреждений</w:t>
            </w:r>
          </w:p>
        </w:tc>
        <w:tc>
          <w:tcPr>
            <w:tcW w:type="dxa" w:w="4111"/>
            <w:tcBorders>
              <w:top w:color="000000" w:sz="4" w:val="single"/>
              <w:left w:color="000000" w:sz="4" w:val="single"/>
              <w:bottom w:color="000000" w:sz="4" w:val="single"/>
              <w:right w:color="000000" w:sz="4" w:val="single"/>
            </w:tcBorders>
          </w:tcPr>
          <w:p w14:paraId="CC010000">
            <w:pPr>
              <w:rPr>
                <w:sz w:val="24"/>
              </w:rPr>
            </w:pPr>
          </w:p>
        </w:tc>
        <w:tc>
          <w:tcPr>
            <w:tcW w:type="dxa" w:w="1701"/>
            <w:tcBorders>
              <w:top w:color="000000" w:sz="4" w:val="single"/>
              <w:left w:color="000000" w:sz="4" w:val="single"/>
              <w:bottom w:color="000000" w:sz="4" w:val="single"/>
              <w:right w:color="000000" w:sz="4" w:val="single"/>
            </w:tcBorders>
          </w:tcPr>
          <w:p w14:paraId="CD010000">
            <w:pPr>
              <w:widowControl w:val="1"/>
              <w:ind/>
              <w:jc w:val="center"/>
              <w:rPr>
                <w:sz w:val="24"/>
              </w:rPr>
            </w:pPr>
            <w:r>
              <w:rPr>
                <w:sz w:val="24"/>
              </w:rPr>
              <w:t>202</w:t>
            </w:r>
            <w:r>
              <w:rPr>
                <w:sz w:val="24"/>
              </w:rPr>
              <w:t>5</w:t>
            </w:r>
            <w:r>
              <w:rPr>
                <w:sz w:val="24"/>
              </w:rPr>
              <w:t>–</w:t>
            </w:r>
          </w:p>
          <w:p w14:paraId="CE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CF010000">
            <w:pPr>
              <w:widowControl w:val="1"/>
              <w:ind/>
              <w:jc w:val="center"/>
              <w:rPr>
                <w:sz w:val="24"/>
              </w:rPr>
            </w:pPr>
            <w:r>
              <w:rPr>
                <w:sz w:val="24"/>
              </w:rPr>
              <w:t>2</w:t>
            </w:r>
            <w:r>
              <w:rPr>
                <w:sz w:val="24"/>
              </w:rPr>
              <w:t>5000,0</w:t>
            </w:r>
          </w:p>
        </w:tc>
        <w:tc>
          <w:tcPr>
            <w:tcW w:type="dxa" w:w="1417"/>
            <w:tcBorders>
              <w:top w:color="000000" w:sz="4" w:val="single"/>
              <w:left w:color="000000" w:sz="4" w:val="single"/>
              <w:bottom w:color="000000" w:sz="4" w:val="single"/>
              <w:right w:color="000000" w:sz="4" w:val="single"/>
            </w:tcBorders>
          </w:tcPr>
          <w:p w14:paraId="D0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D1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D2010000">
            <w:pPr>
              <w:widowControl w:val="1"/>
              <w:ind/>
              <w:jc w:val="center"/>
              <w:rPr>
                <w:sz w:val="24"/>
              </w:rPr>
            </w:pPr>
            <w:r>
              <w:rPr>
                <w:sz w:val="24"/>
              </w:rPr>
              <w:t>12</w:t>
            </w:r>
          </w:p>
        </w:tc>
        <w:tc>
          <w:tcPr>
            <w:tcW w:type="dxa" w:w="4250"/>
            <w:gridSpan w:val="2"/>
            <w:tcBorders>
              <w:top w:color="000000" w:sz="4" w:val="single"/>
              <w:left w:color="000000" w:sz="4" w:val="single"/>
              <w:bottom w:color="000000" w:sz="4" w:val="single"/>
              <w:right w:color="000000" w:sz="4" w:val="single"/>
            </w:tcBorders>
          </w:tcPr>
          <w:p w14:paraId="D3010000">
            <w:pPr>
              <w:rPr>
                <w:sz w:val="24"/>
              </w:rPr>
            </w:pPr>
            <w:r>
              <w:rPr>
                <w:sz w:val="24"/>
              </w:rPr>
              <w:t>Оптимизация расходов на оказание муниципальных услуг</w:t>
            </w:r>
          </w:p>
        </w:tc>
        <w:tc>
          <w:tcPr>
            <w:tcW w:type="dxa" w:w="4111"/>
            <w:tcBorders>
              <w:top w:color="000000" w:sz="4" w:val="single"/>
              <w:left w:color="000000" w:sz="4" w:val="single"/>
              <w:bottom w:color="000000" w:sz="4" w:val="single"/>
              <w:right w:color="000000" w:sz="4" w:val="single"/>
            </w:tcBorders>
          </w:tcPr>
          <w:p w14:paraId="D4010000">
            <w:pPr>
              <w:rPr>
                <w:sz w:val="24"/>
              </w:rPr>
            </w:pPr>
          </w:p>
        </w:tc>
        <w:tc>
          <w:tcPr>
            <w:tcW w:type="dxa" w:w="1701"/>
            <w:tcBorders>
              <w:top w:color="000000" w:sz="4" w:val="single"/>
              <w:left w:color="000000" w:sz="4" w:val="single"/>
              <w:bottom w:color="000000" w:sz="4" w:val="single"/>
              <w:right w:color="000000" w:sz="4" w:val="single"/>
            </w:tcBorders>
          </w:tcPr>
          <w:p w14:paraId="D501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D6010000">
            <w:pPr>
              <w:widowControl w:val="1"/>
              <w:ind/>
              <w:jc w:val="center"/>
              <w:rPr>
                <w:sz w:val="24"/>
              </w:rPr>
            </w:pPr>
          </w:p>
        </w:tc>
        <w:tc>
          <w:tcPr>
            <w:tcW w:type="dxa" w:w="1417"/>
            <w:tcBorders>
              <w:top w:color="000000" w:sz="4" w:val="single"/>
              <w:left w:color="000000" w:sz="4" w:val="single"/>
              <w:bottom w:color="000000" w:sz="4" w:val="single"/>
              <w:right w:color="000000" w:sz="4" w:val="single"/>
            </w:tcBorders>
          </w:tcPr>
          <w:p w14:paraId="D7010000">
            <w:pPr>
              <w:widowControl w:val="1"/>
              <w:ind/>
              <w:jc w:val="center"/>
              <w:rPr>
                <w:sz w:val="24"/>
              </w:rPr>
            </w:pPr>
          </w:p>
        </w:tc>
        <w:tc>
          <w:tcPr>
            <w:tcW w:type="dxa" w:w="1418"/>
            <w:tcBorders>
              <w:top w:color="000000" w:sz="4" w:val="single"/>
              <w:left w:color="000000" w:sz="4" w:val="single"/>
              <w:bottom w:color="000000" w:sz="4" w:val="single"/>
              <w:right w:color="000000" w:sz="4" w:val="single"/>
            </w:tcBorders>
          </w:tcPr>
          <w:p w14:paraId="D8010000">
            <w:pPr>
              <w:widowControl w:val="1"/>
              <w:ind/>
              <w:jc w:val="center"/>
              <w:rPr>
                <w:sz w:val="24"/>
              </w:rPr>
            </w:pPr>
          </w:p>
        </w:tc>
      </w:tr>
      <w:tr>
        <w:tc>
          <w:tcPr>
            <w:tcW w:type="dxa" w:w="996"/>
            <w:tcBorders>
              <w:top w:color="000000" w:sz="4" w:val="single"/>
              <w:left w:color="000000" w:sz="4" w:val="single"/>
              <w:bottom w:color="000000" w:sz="4" w:val="single"/>
              <w:right w:color="000000" w:sz="4" w:val="single"/>
            </w:tcBorders>
          </w:tcPr>
          <w:p w14:paraId="D9010000">
            <w:pPr>
              <w:widowControl w:val="1"/>
              <w:ind/>
              <w:jc w:val="center"/>
              <w:rPr>
                <w:sz w:val="24"/>
              </w:rPr>
            </w:pPr>
            <w:r>
              <w:rPr>
                <w:sz w:val="24"/>
              </w:rPr>
              <w:t>12.1</w:t>
            </w:r>
          </w:p>
        </w:tc>
        <w:tc>
          <w:tcPr>
            <w:tcW w:type="dxa" w:w="4250"/>
            <w:gridSpan w:val="2"/>
            <w:tcBorders>
              <w:top w:color="000000" w:sz="4" w:val="single"/>
              <w:left w:color="000000" w:sz="4" w:val="single"/>
              <w:bottom w:color="000000" w:sz="4" w:val="single"/>
              <w:right w:color="000000" w:sz="4" w:val="single"/>
            </w:tcBorders>
          </w:tcPr>
          <w:p w14:paraId="DA010000">
            <w:pPr>
              <w:rPr>
                <w:sz w:val="24"/>
              </w:rPr>
            </w:pPr>
            <w:r>
              <w:rPr>
                <w:sz w:val="24"/>
              </w:rPr>
              <w:t>Анализ муниципальных услуг на предмет целесообразности их оказания муниципальными учреждениями</w:t>
            </w:r>
          </w:p>
        </w:tc>
        <w:tc>
          <w:tcPr>
            <w:tcW w:type="dxa" w:w="4111"/>
            <w:tcBorders>
              <w:top w:color="000000" w:sz="4" w:val="single"/>
              <w:left w:color="000000" w:sz="4" w:val="single"/>
              <w:bottom w:color="000000" w:sz="4" w:val="single"/>
              <w:right w:color="000000" w:sz="4" w:val="single"/>
            </w:tcBorders>
          </w:tcPr>
          <w:p w14:paraId="DB010000">
            <w:pPr>
              <w:rPr>
                <w:sz w:val="24"/>
              </w:rPr>
            </w:pPr>
            <w:r>
              <w:rPr>
                <w:sz w:val="24"/>
              </w:rPr>
              <w:t xml:space="preserve">ОМСУ Крапивинского муниципального округа, имеющие подведомственные учреждения </w:t>
            </w:r>
          </w:p>
        </w:tc>
        <w:tc>
          <w:tcPr>
            <w:tcW w:type="dxa" w:w="1701"/>
            <w:tcBorders>
              <w:top w:color="000000" w:sz="4" w:val="single"/>
              <w:left w:color="000000" w:sz="4" w:val="single"/>
              <w:bottom w:color="000000" w:sz="4" w:val="single"/>
              <w:right w:color="000000" w:sz="4" w:val="single"/>
            </w:tcBorders>
          </w:tcPr>
          <w:p w14:paraId="DC010000">
            <w:pPr>
              <w:widowControl w:val="1"/>
              <w:ind/>
              <w:jc w:val="center"/>
              <w:rPr>
                <w:sz w:val="24"/>
              </w:rPr>
            </w:pPr>
            <w:r>
              <w:rPr>
                <w:sz w:val="24"/>
              </w:rPr>
              <w:t>202</w:t>
            </w:r>
            <w:r>
              <w:rPr>
                <w:sz w:val="24"/>
              </w:rPr>
              <w:t>5</w:t>
            </w:r>
            <w:r>
              <w:rPr>
                <w:sz w:val="24"/>
              </w:rPr>
              <w:t>–</w:t>
            </w:r>
          </w:p>
          <w:p w14:paraId="DD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DE01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DF01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E001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E1010000">
            <w:pPr>
              <w:widowControl w:val="1"/>
              <w:ind/>
              <w:jc w:val="center"/>
              <w:rPr>
                <w:sz w:val="24"/>
              </w:rPr>
            </w:pPr>
            <w:r>
              <w:rPr>
                <w:sz w:val="24"/>
              </w:rPr>
              <w:t>12.2</w:t>
            </w:r>
          </w:p>
        </w:tc>
        <w:tc>
          <w:tcPr>
            <w:tcW w:type="dxa" w:w="4250"/>
            <w:gridSpan w:val="2"/>
            <w:tcBorders>
              <w:top w:color="000000" w:sz="4" w:val="single"/>
              <w:left w:color="000000" w:sz="4" w:val="single"/>
              <w:bottom w:color="000000" w:sz="4" w:val="single"/>
              <w:right w:color="000000" w:sz="4" w:val="single"/>
            </w:tcBorders>
          </w:tcPr>
          <w:p w14:paraId="E2010000">
            <w:pPr>
              <w:widowControl w:val="1"/>
              <w:spacing w:line="228" w:lineRule="auto"/>
              <w:ind/>
              <w:rPr>
                <w:sz w:val="24"/>
              </w:rPr>
            </w:pPr>
            <w:r>
              <w:rPr>
                <w:sz w:val="24"/>
              </w:rPr>
              <w:t xml:space="preserve">Оптимизация численности административно-управленческого персонала путем обеспечения дифференциации оплаты труда основного и прочего персонала, оптимизации административно-управленческого, вспомогательного и обслуживающего персонала с учетом предельной доли расходов </w:t>
            </w:r>
          </w:p>
          <w:p w14:paraId="E3010000">
            <w:pPr>
              <w:widowControl w:val="1"/>
              <w:spacing w:line="228" w:lineRule="auto"/>
              <w:ind/>
              <w:rPr>
                <w:sz w:val="24"/>
              </w:rPr>
            </w:pPr>
            <w:r>
              <w:rPr>
                <w:sz w:val="24"/>
              </w:rPr>
              <w:t>на оплату его труда в фонде оплаты труда учреждений в сфере</w:t>
            </w:r>
          </w:p>
        </w:tc>
        <w:tc>
          <w:tcPr>
            <w:tcW w:type="dxa" w:w="4111"/>
            <w:tcBorders>
              <w:top w:color="000000" w:sz="4" w:val="single"/>
              <w:left w:color="000000" w:sz="4" w:val="single"/>
              <w:bottom w:color="000000" w:sz="4" w:val="single"/>
              <w:right w:color="000000" w:sz="4" w:val="single"/>
            </w:tcBorders>
          </w:tcPr>
          <w:p w14:paraId="E4010000">
            <w:pPr>
              <w:rPr>
                <w:sz w:val="24"/>
              </w:rPr>
            </w:pPr>
            <w:r>
              <w:rPr>
                <w:sz w:val="24"/>
              </w:rPr>
              <w:t xml:space="preserve">ОМСУ Крапивинского муниципального округа, имеющие подведомственные учреждения </w:t>
            </w:r>
          </w:p>
        </w:tc>
        <w:tc>
          <w:tcPr>
            <w:tcW w:type="dxa" w:w="1701"/>
            <w:tcBorders>
              <w:top w:color="000000" w:sz="4" w:val="single"/>
              <w:left w:color="000000" w:sz="4" w:val="single"/>
              <w:bottom w:color="000000" w:sz="4" w:val="single"/>
              <w:right w:color="000000" w:sz="4" w:val="single"/>
            </w:tcBorders>
          </w:tcPr>
          <w:p w14:paraId="E5010000">
            <w:pPr>
              <w:widowControl w:val="1"/>
              <w:ind/>
              <w:jc w:val="center"/>
              <w:rPr>
                <w:sz w:val="24"/>
              </w:rPr>
            </w:pPr>
            <w:r>
              <w:rPr>
                <w:sz w:val="24"/>
              </w:rPr>
              <w:t>202</w:t>
            </w:r>
            <w:r>
              <w:rPr>
                <w:sz w:val="24"/>
              </w:rPr>
              <w:t>5</w:t>
            </w:r>
            <w:r>
              <w:rPr>
                <w:sz w:val="24"/>
              </w:rPr>
              <w:t>–</w:t>
            </w:r>
          </w:p>
          <w:p w14:paraId="E601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E7010000">
            <w:pPr>
              <w:widowControl w:val="1"/>
              <w:ind/>
              <w:jc w:val="center"/>
              <w:rPr>
                <w:sz w:val="24"/>
              </w:rPr>
            </w:pPr>
          </w:p>
        </w:tc>
        <w:tc>
          <w:tcPr>
            <w:tcW w:type="dxa" w:w="1417"/>
            <w:tcBorders>
              <w:top w:color="000000" w:sz="4" w:val="single"/>
              <w:left w:color="000000" w:sz="4" w:val="single"/>
              <w:bottom w:color="000000" w:sz="4" w:val="single"/>
              <w:right w:color="000000" w:sz="4" w:val="single"/>
            </w:tcBorders>
          </w:tcPr>
          <w:p w14:paraId="E8010000">
            <w:pPr>
              <w:widowControl w:val="1"/>
              <w:ind/>
              <w:jc w:val="center"/>
              <w:rPr>
                <w:sz w:val="24"/>
              </w:rPr>
            </w:pPr>
          </w:p>
        </w:tc>
        <w:tc>
          <w:tcPr>
            <w:tcW w:type="dxa" w:w="1418"/>
            <w:tcBorders>
              <w:top w:color="000000" w:sz="4" w:val="single"/>
              <w:left w:color="000000" w:sz="4" w:val="single"/>
              <w:bottom w:color="000000" w:sz="4" w:val="single"/>
              <w:right w:color="000000" w:sz="4" w:val="single"/>
            </w:tcBorders>
          </w:tcPr>
          <w:p w14:paraId="E9010000">
            <w:pPr>
              <w:widowControl w:val="1"/>
              <w:ind/>
              <w:jc w:val="center"/>
              <w:rPr>
                <w:sz w:val="24"/>
              </w:rPr>
            </w:pPr>
          </w:p>
        </w:tc>
      </w:tr>
      <w:tr>
        <w:tc>
          <w:tcPr>
            <w:tcW w:type="dxa" w:w="996"/>
            <w:tcBorders>
              <w:top w:color="000000" w:sz="4" w:val="single"/>
              <w:left w:color="000000" w:sz="4" w:val="single"/>
              <w:bottom w:color="000000" w:sz="4" w:val="single"/>
              <w:right w:color="000000" w:sz="4" w:val="single"/>
            </w:tcBorders>
          </w:tcPr>
          <w:p w14:paraId="EA010000">
            <w:pPr>
              <w:widowControl w:val="1"/>
              <w:ind/>
              <w:jc w:val="center"/>
              <w:rPr>
                <w:sz w:val="24"/>
              </w:rPr>
            </w:pPr>
            <w:r>
              <w:rPr>
                <w:sz w:val="24"/>
              </w:rPr>
              <w:t>12.2.1</w:t>
            </w:r>
          </w:p>
        </w:tc>
        <w:tc>
          <w:tcPr>
            <w:tcW w:type="dxa" w:w="4250"/>
            <w:gridSpan w:val="2"/>
            <w:tcBorders>
              <w:top w:color="000000" w:sz="4" w:val="single"/>
              <w:left w:color="000000" w:sz="4" w:val="single"/>
              <w:bottom w:color="000000" w:sz="4" w:val="single"/>
              <w:right w:color="000000" w:sz="4" w:val="single"/>
            </w:tcBorders>
          </w:tcPr>
          <w:p w14:paraId="EB010000">
            <w:pPr>
              <w:rPr>
                <w:sz w:val="24"/>
              </w:rPr>
            </w:pPr>
            <w:r>
              <w:rPr>
                <w:sz w:val="24"/>
              </w:rPr>
              <w:t>Дошкольного образования</w:t>
            </w:r>
          </w:p>
        </w:tc>
        <w:tc>
          <w:tcPr>
            <w:tcW w:type="dxa" w:w="4111"/>
            <w:tcBorders>
              <w:top w:color="000000" w:sz="4" w:val="single"/>
              <w:left w:color="000000" w:sz="4" w:val="single"/>
              <w:bottom w:color="000000" w:sz="4" w:val="single"/>
              <w:right w:color="000000" w:sz="4" w:val="single"/>
            </w:tcBorders>
          </w:tcPr>
          <w:p w14:paraId="EC010000">
            <w:pPr>
              <w:widowControl w:val="1"/>
              <w:spacing w:line="228" w:lineRule="auto"/>
              <w:ind/>
              <w:jc w:val="center"/>
              <w:rPr>
                <w:sz w:val="24"/>
              </w:rPr>
            </w:pPr>
          </w:p>
        </w:tc>
        <w:tc>
          <w:tcPr>
            <w:tcW w:type="dxa" w:w="1701"/>
            <w:tcBorders>
              <w:top w:color="000000" w:sz="4" w:val="single"/>
              <w:left w:color="000000" w:sz="4" w:val="single"/>
              <w:bottom w:color="000000" w:sz="4" w:val="single"/>
              <w:right w:color="000000" w:sz="4" w:val="single"/>
            </w:tcBorders>
          </w:tcPr>
          <w:p w14:paraId="ED01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EE010000">
            <w:pPr>
              <w:widowControl w:val="1"/>
              <w:ind/>
              <w:jc w:val="center"/>
              <w:rPr>
                <w:sz w:val="24"/>
              </w:rPr>
            </w:pPr>
            <w:r>
              <w:rPr>
                <w:sz w:val="24"/>
              </w:rPr>
              <w:t>Не более 45%</w:t>
            </w:r>
          </w:p>
        </w:tc>
        <w:tc>
          <w:tcPr>
            <w:tcW w:type="dxa" w:w="1417"/>
            <w:tcBorders>
              <w:top w:color="000000" w:sz="4" w:val="single"/>
              <w:left w:color="000000" w:sz="4" w:val="single"/>
              <w:bottom w:color="000000" w:sz="4" w:val="single"/>
              <w:right w:color="000000" w:sz="4" w:val="single"/>
            </w:tcBorders>
          </w:tcPr>
          <w:p w14:paraId="EF010000">
            <w:pPr>
              <w:widowControl w:val="1"/>
              <w:ind/>
              <w:jc w:val="center"/>
              <w:rPr>
                <w:sz w:val="24"/>
              </w:rPr>
            </w:pPr>
            <w:r>
              <w:rPr>
                <w:sz w:val="24"/>
              </w:rPr>
              <w:t>Не более 45%</w:t>
            </w:r>
          </w:p>
        </w:tc>
        <w:tc>
          <w:tcPr>
            <w:tcW w:type="dxa" w:w="1418"/>
            <w:tcBorders>
              <w:top w:color="000000" w:sz="4" w:val="single"/>
              <w:left w:color="000000" w:sz="4" w:val="single"/>
              <w:bottom w:color="000000" w:sz="4" w:val="single"/>
              <w:right w:color="000000" w:sz="4" w:val="single"/>
            </w:tcBorders>
          </w:tcPr>
          <w:p w14:paraId="F0010000">
            <w:pPr>
              <w:widowControl w:val="1"/>
              <w:ind/>
              <w:jc w:val="center"/>
              <w:rPr>
                <w:sz w:val="24"/>
              </w:rPr>
            </w:pPr>
            <w:r>
              <w:rPr>
                <w:sz w:val="24"/>
              </w:rPr>
              <w:t>Не более 45%</w:t>
            </w:r>
          </w:p>
        </w:tc>
      </w:tr>
      <w:tr>
        <w:tc>
          <w:tcPr>
            <w:tcW w:type="dxa" w:w="996"/>
            <w:tcBorders>
              <w:top w:color="000000" w:sz="4" w:val="single"/>
              <w:left w:color="000000" w:sz="4" w:val="single"/>
              <w:bottom w:color="000000" w:sz="4" w:val="single"/>
              <w:right w:color="000000" w:sz="4" w:val="single"/>
            </w:tcBorders>
          </w:tcPr>
          <w:p w14:paraId="F1010000">
            <w:pPr>
              <w:widowControl w:val="1"/>
              <w:ind/>
              <w:jc w:val="center"/>
              <w:rPr>
                <w:sz w:val="24"/>
              </w:rPr>
            </w:pPr>
            <w:r>
              <w:rPr>
                <w:sz w:val="24"/>
              </w:rPr>
              <w:t>12.2.2</w:t>
            </w:r>
          </w:p>
        </w:tc>
        <w:tc>
          <w:tcPr>
            <w:tcW w:type="dxa" w:w="4250"/>
            <w:gridSpan w:val="2"/>
            <w:tcBorders>
              <w:top w:color="000000" w:sz="4" w:val="single"/>
              <w:left w:color="000000" w:sz="4" w:val="single"/>
              <w:bottom w:color="000000" w:sz="4" w:val="single"/>
              <w:right w:color="000000" w:sz="4" w:val="single"/>
            </w:tcBorders>
          </w:tcPr>
          <w:p w14:paraId="F2010000">
            <w:pPr>
              <w:rPr>
                <w:sz w:val="24"/>
              </w:rPr>
            </w:pPr>
            <w:r>
              <w:rPr>
                <w:sz w:val="24"/>
              </w:rPr>
              <w:t>Общего образования</w:t>
            </w:r>
          </w:p>
        </w:tc>
        <w:tc>
          <w:tcPr>
            <w:tcW w:type="dxa" w:w="4111"/>
            <w:tcBorders>
              <w:top w:color="000000" w:sz="4" w:val="single"/>
              <w:left w:color="000000" w:sz="4" w:val="single"/>
              <w:bottom w:color="000000" w:sz="4" w:val="single"/>
              <w:right w:color="000000" w:sz="4" w:val="single"/>
            </w:tcBorders>
          </w:tcPr>
          <w:p w14:paraId="F3010000">
            <w:pPr>
              <w:widowControl w:val="1"/>
              <w:spacing w:line="228" w:lineRule="auto"/>
              <w:ind/>
              <w:jc w:val="center"/>
              <w:rPr>
                <w:sz w:val="24"/>
              </w:rPr>
            </w:pPr>
          </w:p>
        </w:tc>
        <w:tc>
          <w:tcPr>
            <w:tcW w:type="dxa" w:w="1701"/>
            <w:tcBorders>
              <w:top w:color="000000" w:sz="4" w:val="single"/>
              <w:left w:color="000000" w:sz="4" w:val="single"/>
              <w:bottom w:color="000000" w:sz="4" w:val="single"/>
              <w:right w:color="000000" w:sz="4" w:val="single"/>
            </w:tcBorders>
          </w:tcPr>
          <w:p w14:paraId="F401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F5010000">
            <w:pPr>
              <w:widowControl w:val="1"/>
              <w:ind/>
              <w:jc w:val="center"/>
              <w:rPr>
                <w:sz w:val="24"/>
              </w:rPr>
            </w:pPr>
            <w:r>
              <w:rPr>
                <w:sz w:val="24"/>
              </w:rPr>
              <w:t>Не более 33,4%</w:t>
            </w:r>
          </w:p>
        </w:tc>
        <w:tc>
          <w:tcPr>
            <w:tcW w:type="dxa" w:w="1417"/>
            <w:tcBorders>
              <w:top w:color="000000" w:sz="4" w:val="single"/>
              <w:left w:color="000000" w:sz="4" w:val="single"/>
              <w:bottom w:color="000000" w:sz="4" w:val="single"/>
              <w:right w:color="000000" w:sz="4" w:val="single"/>
            </w:tcBorders>
          </w:tcPr>
          <w:p w14:paraId="F6010000">
            <w:pPr>
              <w:widowControl w:val="1"/>
              <w:ind/>
              <w:jc w:val="center"/>
              <w:rPr>
                <w:sz w:val="24"/>
              </w:rPr>
            </w:pPr>
            <w:r>
              <w:rPr>
                <w:sz w:val="24"/>
              </w:rPr>
              <w:t>Не более 33,4%</w:t>
            </w:r>
          </w:p>
        </w:tc>
        <w:tc>
          <w:tcPr>
            <w:tcW w:type="dxa" w:w="1418"/>
            <w:tcBorders>
              <w:top w:color="000000" w:sz="4" w:val="single"/>
              <w:left w:color="000000" w:sz="4" w:val="single"/>
              <w:bottom w:color="000000" w:sz="4" w:val="single"/>
              <w:right w:color="000000" w:sz="4" w:val="single"/>
            </w:tcBorders>
          </w:tcPr>
          <w:p w14:paraId="F7010000">
            <w:pPr>
              <w:widowControl w:val="1"/>
              <w:ind/>
              <w:jc w:val="center"/>
              <w:rPr>
                <w:sz w:val="24"/>
              </w:rPr>
            </w:pPr>
            <w:r>
              <w:rPr>
                <w:sz w:val="24"/>
              </w:rPr>
              <w:t>Не более 33,4%</w:t>
            </w:r>
          </w:p>
        </w:tc>
      </w:tr>
      <w:tr>
        <w:tc>
          <w:tcPr>
            <w:tcW w:type="dxa" w:w="996"/>
            <w:tcBorders>
              <w:top w:color="000000" w:sz="4" w:val="single"/>
              <w:left w:color="000000" w:sz="4" w:val="single"/>
              <w:bottom w:color="000000" w:sz="4" w:val="single"/>
              <w:right w:color="000000" w:sz="4" w:val="single"/>
            </w:tcBorders>
          </w:tcPr>
          <w:p w14:paraId="F8010000">
            <w:pPr>
              <w:widowControl w:val="1"/>
              <w:ind/>
              <w:jc w:val="center"/>
              <w:rPr>
                <w:sz w:val="24"/>
              </w:rPr>
            </w:pPr>
            <w:r>
              <w:rPr>
                <w:sz w:val="24"/>
              </w:rPr>
              <w:t>12.2.3</w:t>
            </w:r>
          </w:p>
        </w:tc>
        <w:tc>
          <w:tcPr>
            <w:tcW w:type="dxa" w:w="4250"/>
            <w:gridSpan w:val="2"/>
            <w:tcBorders>
              <w:top w:color="000000" w:sz="4" w:val="single"/>
              <w:left w:color="000000" w:sz="4" w:val="single"/>
              <w:bottom w:color="000000" w:sz="4" w:val="single"/>
              <w:right w:color="000000" w:sz="4" w:val="single"/>
            </w:tcBorders>
          </w:tcPr>
          <w:p w14:paraId="F9010000">
            <w:pPr>
              <w:rPr>
                <w:sz w:val="24"/>
              </w:rPr>
            </w:pPr>
            <w:r>
              <w:rPr>
                <w:sz w:val="24"/>
              </w:rPr>
              <w:t>Дополнительного образования</w:t>
            </w:r>
          </w:p>
        </w:tc>
        <w:tc>
          <w:tcPr>
            <w:tcW w:type="dxa" w:w="4111"/>
            <w:tcBorders>
              <w:top w:color="000000" w:sz="4" w:val="single"/>
              <w:left w:color="000000" w:sz="4" w:val="single"/>
              <w:bottom w:color="000000" w:sz="4" w:val="single"/>
              <w:right w:color="000000" w:sz="4" w:val="single"/>
            </w:tcBorders>
          </w:tcPr>
          <w:p w14:paraId="FA010000">
            <w:pPr>
              <w:widowControl w:val="1"/>
              <w:spacing w:line="228" w:lineRule="auto"/>
              <w:ind/>
              <w:jc w:val="center"/>
              <w:rPr>
                <w:sz w:val="24"/>
              </w:rPr>
            </w:pPr>
          </w:p>
        </w:tc>
        <w:tc>
          <w:tcPr>
            <w:tcW w:type="dxa" w:w="1701"/>
            <w:tcBorders>
              <w:top w:color="000000" w:sz="4" w:val="single"/>
              <w:left w:color="000000" w:sz="4" w:val="single"/>
              <w:bottom w:color="000000" w:sz="4" w:val="single"/>
              <w:right w:color="000000" w:sz="4" w:val="single"/>
            </w:tcBorders>
          </w:tcPr>
          <w:p w14:paraId="FB01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FC010000">
            <w:pPr>
              <w:widowControl w:val="1"/>
              <w:ind/>
              <w:jc w:val="center"/>
              <w:rPr>
                <w:sz w:val="24"/>
              </w:rPr>
            </w:pPr>
            <w:r>
              <w:rPr>
                <w:sz w:val="24"/>
              </w:rPr>
              <w:t>Не более 40,6%</w:t>
            </w:r>
          </w:p>
        </w:tc>
        <w:tc>
          <w:tcPr>
            <w:tcW w:type="dxa" w:w="1417"/>
            <w:tcBorders>
              <w:top w:color="000000" w:sz="4" w:val="single"/>
              <w:left w:color="000000" w:sz="4" w:val="single"/>
              <w:bottom w:color="000000" w:sz="4" w:val="single"/>
              <w:right w:color="000000" w:sz="4" w:val="single"/>
            </w:tcBorders>
          </w:tcPr>
          <w:p w14:paraId="FD010000">
            <w:pPr>
              <w:widowControl w:val="1"/>
              <w:ind/>
              <w:jc w:val="center"/>
              <w:rPr>
                <w:sz w:val="24"/>
              </w:rPr>
            </w:pPr>
            <w:r>
              <w:rPr>
                <w:sz w:val="24"/>
              </w:rPr>
              <w:t>Не более 40,6%</w:t>
            </w:r>
          </w:p>
        </w:tc>
        <w:tc>
          <w:tcPr>
            <w:tcW w:type="dxa" w:w="1418"/>
            <w:tcBorders>
              <w:top w:color="000000" w:sz="4" w:val="single"/>
              <w:left w:color="000000" w:sz="4" w:val="single"/>
              <w:bottom w:color="000000" w:sz="4" w:val="single"/>
              <w:right w:color="000000" w:sz="4" w:val="single"/>
            </w:tcBorders>
          </w:tcPr>
          <w:p w14:paraId="FE010000">
            <w:pPr>
              <w:widowControl w:val="1"/>
              <w:ind/>
              <w:jc w:val="center"/>
              <w:rPr>
                <w:sz w:val="24"/>
              </w:rPr>
            </w:pPr>
            <w:r>
              <w:rPr>
                <w:sz w:val="24"/>
              </w:rPr>
              <w:t>Не более 40,6%</w:t>
            </w:r>
          </w:p>
        </w:tc>
      </w:tr>
      <w:tr>
        <w:tc>
          <w:tcPr>
            <w:tcW w:type="dxa" w:w="996"/>
            <w:tcBorders>
              <w:top w:color="000000" w:sz="4" w:val="single"/>
              <w:left w:color="000000" w:sz="4" w:val="single"/>
              <w:bottom w:color="000000" w:sz="4" w:val="single"/>
              <w:right w:color="000000" w:sz="4" w:val="single"/>
            </w:tcBorders>
          </w:tcPr>
          <w:p w14:paraId="FF010000">
            <w:pPr>
              <w:widowControl w:val="1"/>
              <w:ind/>
              <w:jc w:val="center"/>
              <w:rPr>
                <w:sz w:val="24"/>
              </w:rPr>
            </w:pPr>
            <w:r>
              <w:rPr>
                <w:sz w:val="24"/>
              </w:rPr>
              <w:t>12.2.4</w:t>
            </w:r>
          </w:p>
        </w:tc>
        <w:tc>
          <w:tcPr>
            <w:tcW w:type="dxa" w:w="4250"/>
            <w:gridSpan w:val="2"/>
            <w:tcBorders>
              <w:top w:color="000000" w:sz="4" w:val="single"/>
              <w:left w:color="000000" w:sz="4" w:val="single"/>
              <w:bottom w:color="000000" w:sz="4" w:val="single"/>
              <w:right w:color="000000" w:sz="4" w:val="single"/>
            </w:tcBorders>
          </w:tcPr>
          <w:p w14:paraId="00020000">
            <w:pPr>
              <w:rPr>
                <w:sz w:val="24"/>
              </w:rPr>
            </w:pPr>
            <w:r>
              <w:rPr>
                <w:sz w:val="24"/>
              </w:rPr>
              <w:t>Культуры</w:t>
            </w:r>
          </w:p>
        </w:tc>
        <w:tc>
          <w:tcPr>
            <w:tcW w:type="dxa" w:w="4111"/>
            <w:tcBorders>
              <w:top w:color="000000" w:sz="4" w:val="single"/>
              <w:left w:color="000000" w:sz="4" w:val="single"/>
              <w:bottom w:color="000000" w:sz="4" w:val="single"/>
              <w:right w:color="000000" w:sz="4" w:val="single"/>
            </w:tcBorders>
          </w:tcPr>
          <w:p w14:paraId="01020000">
            <w:pPr>
              <w:widowControl w:val="1"/>
              <w:spacing w:line="228" w:lineRule="auto"/>
              <w:ind/>
              <w:jc w:val="center"/>
              <w:rPr>
                <w:sz w:val="24"/>
              </w:rPr>
            </w:pPr>
          </w:p>
        </w:tc>
        <w:tc>
          <w:tcPr>
            <w:tcW w:type="dxa" w:w="1701"/>
            <w:tcBorders>
              <w:top w:color="000000" w:sz="4" w:val="single"/>
              <w:left w:color="000000" w:sz="4" w:val="single"/>
              <w:bottom w:color="000000" w:sz="4" w:val="single"/>
              <w:right w:color="000000" w:sz="4" w:val="single"/>
            </w:tcBorders>
          </w:tcPr>
          <w:p w14:paraId="0202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03020000">
            <w:pPr>
              <w:widowControl w:val="1"/>
              <w:ind/>
              <w:jc w:val="center"/>
              <w:rPr>
                <w:sz w:val="24"/>
              </w:rPr>
            </w:pPr>
            <w:r>
              <w:rPr>
                <w:sz w:val="24"/>
              </w:rPr>
              <w:t>Не более 40%</w:t>
            </w:r>
          </w:p>
        </w:tc>
        <w:tc>
          <w:tcPr>
            <w:tcW w:type="dxa" w:w="1417"/>
            <w:tcBorders>
              <w:top w:color="000000" w:sz="4" w:val="single"/>
              <w:left w:color="000000" w:sz="4" w:val="single"/>
              <w:bottom w:color="000000" w:sz="4" w:val="single"/>
              <w:right w:color="000000" w:sz="4" w:val="single"/>
            </w:tcBorders>
          </w:tcPr>
          <w:p w14:paraId="04020000">
            <w:pPr>
              <w:widowControl w:val="1"/>
              <w:ind/>
              <w:jc w:val="center"/>
              <w:rPr>
                <w:sz w:val="24"/>
              </w:rPr>
            </w:pPr>
            <w:r>
              <w:rPr>
                <w:sz w:val="24"/>
              </w:rPr>
              <w:t>Не более 40%</w:t>
            </w:r>
          </w:p>
        </w:tc>
        <w:tc>
          <w:tcPr>
            <w:tcW w:type="dxa" w:w="1418"/>
            <w:tcBorders>
              <w:top w:color="000000" w:sz="4" w:val="single"/>
              <w:left w:color="000000" w:sz="4" w:val="single"/>
              <w:bottom w:color="000000" w:sz="4" w:val="single"/>
              <w:right w:color="000000" w:sz="4" w:val="single"/>
            </w:tcBorders>
          </w:tcPr>
          <w:p w14:paraId="05020000">
            <w:pPr>
              <w:widowControl w:val="1"/>
              <w:ind/>
              <w:jc w:val="center"/>
              <w:rPr>
                <w:sz w:val="24"/>
              </w:rPr>
            </w:pPr>
            <w:r>
              <w:rPr>
                <w:sz w:val="24"/>
              </w:rPr>
              <w:t>Не более 40%</w:t>
            </w:r>
          </w:p>
        </w:tc>
      </w:tr>
      <w:tr>
        <w:tc>
          <w:tcPr>
            <w:tcW w:type="dxa" w:w="996"/>
            <w:tcBorders>
              <w:top w:color="000000" w:sz="4" w:val="single"/>
              <w:left w:color="000000" w:sz="4" w:val="single"/>
              <w:bottom w:color="000000" w:sz="4" w:val="single"/>
              <w:right w:color="000000" w:sz="4" w:val="single"/>
            </w:tcBorders>
          </w:tcPr>
          <w:p w14:paraId="06020000">
            <w:pPr>
              <w:widowControl w:val="1"/>
              <w:ind/>
              <w:jc w:val="center"/>
              <w:rPr>
                <w:sz w:val="24"/>
              </w:rPr>
            </w:pPr>
            <w:r>
              <w:rPr>
                <w:sz w:val="24"/>
              </w:rPr>
              <w:t>12.2.5</w:t>
            </w:r>
          </w:p>
        </w:tc>
        <w:tc>
          <w:tcPr>
            <w:tcW w:type="dxa" w:w="4250"/>
            <w:gridSpan w:val="2"/>
            <w:tcBorders>
              <w:top w:color="000000" w:sz="4" w:val="single"/>
              <w:left w:color="000000" w:sz="4" w:val="single"/>
              <w:bottom w:color="000000" w:sz="4" w:val="single"/>
              <w:right w:color="000000" w:sz="4" w:val="single"/>
            </w:tcBorders>
          </w:tcPr>
          <w:p w14:paraId="07020000">
            <w:pPr>
              <w:rPr>
                <w:sz w:val="24"/>
              </w:rPr>
            </w:pPr>
            <w:r>
              <w:rPr>
                <w:sz w:val="24"/>
              </w:rPr>
              <w:t>В о</w:t>
            </w:r>
            <w:r>
              <w:rPr>
                <w:sz w:val="24"/>
              </w:rPr>
              <w:t>стальных отраслях</w:t>
            </w:r>
          </w:p>
        </w:tc>
        <w:tc>
          <w:tcPr>
            <w:tcW w:type="dxa" w:w="4111"/>
            <w:tcBorders>
              <w:top w:color="000000" w:sz="4" w:val="single"/>
              <w:left w:color="000000" w:sz="4" w:val="single"/>
              <w:bottom w:color="000000" w:sz="4" w:val="single"/>
              <w:right w:color="000000" w:sz="4" w:val="single"/>
            </w:tcBorders>
          </w:tcPr>
          <w:p w14:paraId="08020000">
            <w:pPr>
              <w:widowControl w:val="1"/>
              <w:spacing w:line="228" w:lineRule="auto"/>
              <w:ind/>
              <w:jc w:val="center"/>
              <w:rPr>
                <w:sz w:val="24"/>
              </w:rPr>
            </w:pPr>
          </w:p>
        </w:tc>
        <w:tc>
          <w:tcPr>
            <w:tcW w:type="dxa" w:w="1701"/>
            <w:tcBorders>
              <w:top w:color="000000" w:sz="4" w:val="single"/>
              <w:left w:color="000000" w:sz="4" w:val="single"/>
              <w:bottom w:color="000000" w:sz="4" w:val="single"/>
              <w:right w:color="000000" w:sz="4" w:val="single"/>
            </w:tcBorders>
          </w:tcPr>
          <w:p w14:paraId="0902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0A020000">
            <w:pPr>
              <w:widowControl w:val="1"/>
              <w:ind/>
              <w:jc w:val="center"/>
              <w:rPr>
                <w:sz w:val="24"/>
              </w:rPr>
            </w:pPr>
            <w:r>
              <w:rPr>
                <w:sz w:val="24"/>
              </w:rPr>
              <w:t>Не более 40%</w:t>
            </w:r>
          </w:p>
        </w:tc>
        <w:tc>
          <w:tcPr>
            <w:tcW w:type="dxa" w:w="1417"/>
            <w:tcBorders>
              <w:top w:color="000000" w:sz="4" w:val="single"/>
              <w:left w:color="000000" w:sz="4" w:val="single"/>
              <w:bottom w:color="000000" w:sz="4" w:val="single"/>
              <w:right w:color="000000" w:sz="4" w:val="single"/>
            </w:tcBorders>
          </w:tcPr>
          <w:p w14:paraId="0B020000">
            <w:pPr>
              <w:widowControl w:val="1"/>
              <w:ind/>
              <w:jc w:val="center"/>
              <w:rPr>
                <w:sz w:val="24"/>
              </w:rPr>
            </w:pPr>
            <w:r>
              <w:rPr>
                <w:sz w:val="24"/>
              </w:rPr>
              <w:t>Не более 40%</w:t>
            </w:r>
          </w:p>
        </w:tc>
        <w:tc>
          <w:tcPr>
            <w:tcW w:type="dxa" w:w="1418"/>
            <w:tcBorders>
              <w:top w:color="000000" w:sz="4" w:val="single"/>
              <w:left w:color="000000" w:sz="4" w:val="single"/>
              <w:bottom w:color="000000" w:sz="4" w:val="single"/>
              <w:right w:color="000000" w:sz="4" w:val="single"/>
            </w:tcBorders>
          </w:tcPr>
          <w:p w14:paraId="0C020000">
            <w:pPr>
              <w:widowControl w:val="1"/>
              <w:ind/>
              <w:jc w:val="center"/>
              <w:rPr>
                <w:sz w:val="24"/>
              </w:rPr>
            </w:pPr>
            <w:r>
              <w:rPr>
                <w:sz w:val="24"/>
              </w:rPr>
              <w:t>Не более 40%</w:t>
            </w:r>
          </w:p>
        </w:tc>
      </w:tr>
      <w:tr>
        <w:tc>
          <w:tcPr>
            <w:tcW w:type="dxa" w:w="996"/>
            <w:tcBorders>
              <w:top w:color="000000" w:sz="4" w:val="single"/>
              <w:left w:color="000000" w:sz="4" w:val="single"/>
              <w:bottom w:color="000000" w:sz="4" w:val="single"/>
              <w:right w:color="000000" w:sz="4" w:val="single"/>
            </w:tcBorders>
          </w:tcPr>
          <w:p w14:paraId="0D020000">
            <w:pPr>
              <w:widowControl w:val="1"/>
              <w:ind/>
              <w:jc w:val="center"/>
              <w:rPr>
                <w:sz w:val="24"/>
              </w:rPr>
            </w:pPr>
            <w:r>
              <w:rPr>
                <w:sz w:val="24"/>
              </w:rPr>
              <w:t>12.2.6</w:t>
            </w:r>
          </w:p>
        </w:tc>
        <w:tc>
          <w:tcPr>
            <w:tcW w:type="dxa" w:w="4250"/>
            <w:gridSpan w:val="2"/>
            <w:tcBorders>
              <w:top w:color="000000" w:sz="4" w:val="single"/>
              <w:left w:color="000000" w:sz="4" w:val="single"/>
              <w:bottom w:color="000000" w:sz="4" w:val="single"/>
              <w:right w:color="000000" w:sz="4" w:val="single"/>
            </w:tcBorders>
          </w:tcPr>
          <w:p w14:paraId="0E020000">
            <w:pPr>
              <w:rPr>
                <w:sz w:val="24"/>
              </w:rPr>
            </w:pPr>
            <w:r>
              <w:rPr>
                <w:sz w:val="24"/>
              </w:rPr>
              <w:t>Соблюдение нормативов нагрузки на основной персонал, в том числе:</w:t>
            </w:r>
          </w:p>
        </w:tc>
        <w:tc>
          <w:tcPr>
            <w:tcW w:type="dxa" w:w="4111"/>
            <w:tcBorders>
              <w:top w:color="000000" w:sz="4" w:val="single"/>
              <w:left w:color="000000" w:sz="4" w:val="single"/>
              <w:bottom w:color="000000" w:sz="4" w:val="single"/>
              <w:right w:color="000000" w:sz="4" w:val="single"/>
            </w:tcBorders>
          </w:tcPr>
          <w:p w14:paraId="0F020000">
            <w:pPr>
              <w:widowControl w:val="1"/>
              <w:spacing w:line="228" w:lineRule="auto"/>
              <w:ind/>
              <w:rPr>
                <w:sz w:val="24"/>
              </w:rPr>
            </w:pPr>
          </w:p>
        </w:tc>
        <w:tc>
          <w:tcPr>
            <w:tcW w:type="dxa" w:w="1701"/>
            <w:tcBorders>
              <w:top w:color="000000" w:sz="4" w:val="single"/>
              <w:left w:color="000000" w:sz="4" w:val="single"/>
              <w:bottom w:color="000000" w:sz="4" w:val="single"/>
              <w:right w:color="000000" w:sz="4" w:val="single"/>
            </w:tcBorders>
          </w:tcPr>
          <w:p w14:paraId="10020000">
            <w:pPr>
              <w:widowControl w:val="1"/>
              <w:ind/>
              <w:jc w:val="center"/>
              <w:rPr>
                <w:sz w:val="24"/>
              </w:rPr>
            </w:pPr>
            <w:r>
              <w:rPr>
                <w:sz w:val="24"/>
              </w:rPr>
              <w:t>202</w:t>
            </w:r>
            <w:r>
              <w:rPr>
                <w:sz w:val="24"/>
              </w:rPr>
              <w:t>5</w:t>
            </w:r>
            <w:r>
              <w:rPr>
                <w:sz w:val="24"/>
              </w:rPr>
              <w:t>–</w:t>
            </w:r>
          </w:p>
          <w:p w14:paraId="1102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12020000">
            <w:pPr>
              <w:widowControl w:val="1"/>
              <w:ind/>
              <w:jc w:val="center"/>
              <w:rPr>
                <w:sz w:val="24"/>
              </w:rPr>
            </w:pPr>
          </w:p>
        </w:tc>
        <w:tc>
          <w:tcPr>
            <w:tcW w:type="dxa" w:w="1417"/>
            <w:tcBorders>
              <w:top w:color="000000" w:sz="4" w:val="single"/>
              <w:left w:color="000000" w:sz="4" w:val="single"/>
              <w:bottom w:color="000000" w:sz="4" w:val="single"/>
              <w:right w:color="000000" w:sz="4" w:val="single"/>
            </w:tcBorders>
          </w:tcPr>
          <w:p w14:paraId="13020000">
            <w:pPr>
              <w:widowControl w:val="1"/>
              <w:ind/>
              <w:jc w:val="center"/>
              <w:rPr>
                <w:sz w:val="24"/>
              </w:rPr>
            </w:pPr>
          </w:p>
        </w:tc>
        <w:tc>
          <w:tcPr>
            <w:tcW w:type="dxa" w:w="1418"/>
            <w:tcBorders>
              <w:top w:color="000000" w:sz="4" w:val="single"/>
              <w:left w:color="000000" w:sz="4" w:val="single"/>
              <w:bottom w:color="000000" w:sz="4" w:val="single"/>
              <w:right w:color="000000" w:sz="4" w:val="single"/>
            </w:tcBorders>
          </w:tcPr>
          <w:p w14:paraId="14020000">
            <w:pPr>
              <w:widowControl w:val="1"/>
              <w:ind/>
              <w:jc w:val="center"/>
              <w:rPr>
                <w:sz w:val="24"/>
              </w:rPr>
            </w:pPr>
          </w:p>
        </w:tc>
      </w:tr>
      <w:tr>
        <w:tc>
          <w:tcPr>
            <w:tcW w:type="dxa" w:w="996"/>
            <w:tcBorders>
              <w:top w:color="000000" w:sz="4" w:val="single"/>
              <w:left w:color="000000" w:sz="4" w:val="single"/>
              <w:bottom w:color="000000" w:sz="4" w:val="single"/>
              <w:right w:color="000000" w:sz="4" w:val="single"/>
            </w:tcBorders>
          </w:tcPr>
          <w:p w14:paraId="15020000">
            <w:pPr>
              <w:widowControl w:val="1"/>
              <w:ind/>
              <w:jc w:val="center"/>
              <w:rPr>
                <w:sz w:val="24"/>
              </w:rPr>
            </w:pPr>
            <w:r>
              <w:rPr>
                <w:sz w:val="24"/>
              </w:rPr>
              <w:t>12.2.6.1</w:t>
            </w:r>
          </w:p>
        </w:tc>
        <w:tc>
          <w:tcPr>
            <w:tcW w:type="dxa" w:w="4250"/>
            <w:gridSpan w:val="2"/>
            <w:tcBorders>
              <w:top w:color="000000" w:sz="4" w:val="single"/>
              <w:left w:color="000000" w:sz="4" w:val="single"/>
              <w:bottom w:color="000000" w:sz="4" w:val="single"/>
              <w:right w:color="000000" w:sz="4" w:val="single"/>
            </w:tcBorders>
          </w:tcPr>
          <w:p w14:paraId="16020000">
            <w:pPr>
              <w:rPr>
                <w:sz w:val="24"/>
              </w:rPr>
            </w:pPr>
            <w:r>
              <w:rPr>
                <w:sz w:val="24"/>
              </w:rPr>
              <w:t xml:space="preserve">дошкольное образование (число обучающихся/ воспитанников, приходящихся на </w:t>
            </w:r>
          </w:p>
          <w:p w14:paraId="17020000">
            <w:pPr>
              <w:rPr>
                <w:sz w:val="24"/>
              </w:rPr>
            </w:pPr>
            <w:r>
              <w:rPr>
                <w:sz w:val="24"/>
              </w:rPr>
              <w:t>1 педагогического работника, чел.);</w:t>
            </w:r>
          </w:p>
        </w:tc>
        <w:tc>
          <w:tcPr>
            <w:tcW w:type="dxa" w:w="4111"/>
            <w:tcBorders>
              <w:top w:color="000000" w:sz="4" w:val="single"/>
              <w:left w:color="000000" w:sz="4" w:val="single"/>
              <w:bottom w:color="000000" w:sz="4" w:val="single"/>
              <w:right w:color="000000" w:sz="4" w:val="single"/>
            </w:tcBorders>
          </w:tcPr>
          <w:p w14:paraId="18020000">
            <w:pPr>
              <w:widowControl w:val="1"/>
              <w:spacing w:line="228" w:lineRule="auto"/>
              <w:ind/>
              <w:rPr>
                <w:sz w:val="24"/>
              </w:rPr>
            </w:pPr>
            <w:r>
              <w:rPr>
                <w:sz w:val="24"/>
              </w:rPr>
              <w:t xml:space="preserve">Управление образования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1902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1A020000">
            <w:pPr>
              <w:widowControl w:val="1"/>
              <w:ind/>
              <w:jc w:val="center"/>
              <w:rPr>
                <w:sz w:val="24"/>
              </w:rPr>
            </w:pPr>
            <w:r>
              <w:rPr>
                <w:sz w:val="24"/>
              </w:rPr>
              <w:t>8,0</w:t>
            </w:r>
          </w:p>
        </w:tc>
        <w:tc>
          <w:tcPr>
            <w:tcW w:type="dxa" w:w="1417"/>
            <w:tcBorders>
              <w:top w:color="000000" w:sz="4" w:val="single"/>
              <w:left w:color="000000" w:sz="4" w:val="single"/>
              <w:bottom w:color="000000" w:sz="4" w:val="single"/>
              <w:right w:color="000000" w:sz="4" w:val="single"/>
            </w:tcBorders>
          </w:tcPr>
          <w:p w14:paraId="1B020000">
            <w:pPr>
              <w:widowControl w:val="1"/>
              <w:ind/>
              <w:jc w:val="center"/>
              <w:rPr>
                <w:sz w:val="24"/>
              </w:rPr>
            </w:pPr>
            <w:r>
              <w:rPr>
                <w:sz w:val="24"/>
              </w:rPr>
              <w:t>8,0</w:t>
            </w:r>
          </w:p>
        </w:tc>
        <w:tc>
          <w:tcPr>
            <w:tcW w:type="dxa" w:w="1418"/>
            <w:tcBorders>
              <w:top w:color="000000" w:sz="4" w:val="single"/>
              <w:left w:color="000000" w:sz="4" w:val="single"/>
              <w:bottom w:color="000000" w:sz="4" w:val="single"/>
              <w:right w:color="000000" w:sz="4" w:val="single"/>
            </w:tcBorders>
          </w:tcPr>
          <w:p w14:paraId="1C020000">
            <w:pPr>
              <w:widowControl w:val="1"/>
              <w:ind/>
              <w:jc w:val="center"/>
              <w:rPr>
                <w:sz w:val="24"/>
              </w:rPr>
            </w:pPr>
            <w:r>
              <w:rPr>
                <w:sz w:val="24"/>
              </w:rPr>
              <w:t>8,0</w:t>
            </w:r>
          </w:p>
        </w:tc>
      </w:tr>
      <w:tr>
        <w:tc>
          <w:tcPr>
            <w:tcW w:type="dxa" w:w="996"/>
            <w:tcBorders>
              <w:top w:color="000000" w:sz="4" w:val="single"/>
              <w:left w:color="000000" w:sz="4" w:val="single"/>
              <w:bottom w:color="000000" w:sz="4" w:val="single"/>
              <w:right w:color="000000" w:sz="4" w:val="single"/>
            </w:tcBorders>
          </w:tcPr>
          <w:p w14:paraId="1D020000">
            <w:pPr>
              <w:widowControl w:val="1"/>
              <w:ind/>
              <w:jc w:val="center"/>
              <w:rPr>
                <w:sz w:val="24"/>
              </w:rPr>
            </w:pPr>
            <w:r>
              <w:rPr>
                <w:sz w:val="24"/>
              </w:rPr>
              <w:t>12.2.6.2</w:t>
            </w:r>
          </w:p>
        </w:tc>
        <w:tc>
          <w:tcPr>
            <w:tcW w:type="dxa" w:w="4250"/>
            <w:gridSpan w:val="2"/>
            <w:tcBorders>
              <w:top w:color="000000" w:sz="4" w:val="single"/>
              <w:left w:color="000000" w:sz="4" w:val="single"/>
              <w:bottom w:color="000000" w:sz="4" w:val="single"/>
              <w:right w:color="000000" w:sz="4" w:val="single"/>
            </w:tcBorders>
          </w:tcPr>
          <w:p w14:paraId="1E020000">
            <w:pPr>
              <w:rPr>
                <w:sz w:val="24"/>
              </w:rPr>
            </w:pPr>
            <w:r>
              <w:rPr>
                <w:sz w:val="24"/>
              </w:rPr>
              <w:t xml:space="preserve">общее образование (число обучающихся/ воспитанников, приходящихся на </w:t>
            </w:r>
          </w:p>
          <w:p w14:paraId="1F020000">
            <w:pPr>
              <w:rPr>
                <w:sz w:val="24"/>
              </w:rPr>
            </w:pPr>
            <w:r>
              <w:rPr>
                <w:sz w:val="24"/>
              </w:rPr>
              <w:t>1 педагогического работника, чел.);</w:t>
            </w:r>
          </w:p>
        </w:tc>
        <w:tc>
          <w:tcPr>
            <w:tcW w:type="dxa" w:w="4111"/>
            <w:tcBorders>
              <w:top w:color="000000" w:sz="4" w:val="single"/>
              <w:left w:color="000000" w:sz="4" w:val="single"/>
              <w:bottom w:color="000000" w:sz="4" w:val="single"/>
              <w:right w:color="000000" w:sz="4" w:val="single"/>
            </w:tcBorders>
          </w:tcPr>
          <w:p w14:paraId="20020000">
            <w:pPr>
              <w:widowControl w:val="1"/>
              <w:spacing w:line="228" w:lineRule="auto"/>
              <w:ind/>
              <w:rPr>
                <w:sz w:val="24"/>
              </w:rPr>
            </w:pPr>
            <w:r>
              <w:rPr>
                <w:sz w:val="24"/>
              </w:rPr>
              <w:t xml:space="preserve">Управление образования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2102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22020000">
            <w:pPr>
              <w:widowControl w:val="1"/>
              <w:ind/>
              <w:jc w:val="center"/>
              <w:rPr>
                <w:sz w:val="24"/>
              </w:rPr>
            </w:pPr>
            <w:r>
              <w:rPr>
                <w:sz w:val="24"/>
              </w:rPr>
              <w:t>12,0</w:t>
            </w:r>
          </w:p>
        </w:tc>
        <w:tc>
          <w:tcPr>
            <w:tcW w:type="dxa" w:w="1417"/>
            <w:tcBorders>
              <w:top w:color="000000" w:sz="4" w:val="single"/>
              <w:left w:color="000000" w:sz="4" w:val="single"/>
              <w:bottom w:color="000000" w:sz="4" w:val="single"/>
              <w:right w:color="000000" w:sz="4" w:val="single"/>
            </w:tcBorders>
          </w:tcPr>
          <w:p w14:paraId="23020000">
            <w:pPr>
              <w:widowControl w:val="1"/>
              <w:ind/>
              <w:jc w:val="center"/>
              <w:rPr>
                <w:sz w:val="24"/>
              </w:rPr>
            </w:pPr>
            <w:r>
              <w:rPr>
                <w:sz w:val="24"/>
              </w:rPr>
              <w:t>12,0</w:t>
            </w:r>
          </w:p>
        </w:tc>
        <w:tc>
          <w:tcPr>
            <w:tcW w:type="dxa" w:w="1418"/>
            <w:tcBorders>
              <w:top w:color="000000" w:sz="4" w:val="single"/>
              <w:left w:color="000000" w:sz="4" w:val="single"/>
              <w:bottom w:color="000000" w:sz="4" w:val="single"/>
              <w:right w:color="000000" w:sz="4" w:val="single"/>
            </w:tcBorders>
          </w:tcPr>
          <w:p w14:paraId="24020000">
            <w:pPr>
              <w:widowControl w:val="1"/>
              <w:ind/>
              <w:jc w:val="center"/>
              <w:rPr>
                <w:sz w:val="24"/>
              </w:rPr>
            </w:pPr>
            <w:r>
              <w:rPr>
                <w:sz w:val="24"/>
              </w:rPr>
              <w:t>12,0</w:t>
            </w:r>
          </w:p>
        </w:tc>
      </w:tr>
      <w:tr>
        <w:tc>
          <w:tcPr>
            <w:tcW w:type="dxa" w:w="996"/>
            <w:vMerge w:val="restart"/>
            <w:tcBorders>
              <w:top w:color="000000" w:sz="4" w:val="single"/>
              <w:left w:color="000000" w:sz="4" w:val="single"/>
              <w:bottom w:color="000000" w:sz="4" w:val="single"/>
              <w:right w:color="000000" w:sz="4" w:val="single"/>
            </w:tcBorders>
          </w:tcPr>
          <w:p w14:paraId="25020000">
            <w:pPr>
              <w:widowControl w:val="1"/>
              <w:ind/>
              <w:jc w:val="center"/>
              <w:rPr>
                <w:sz w:val="24"/>
              </w:rPr>
            </w:pPr>
            <w:r>
              <w:rPr>
                <w:sz w:val="24"/>
              </w:rPr>
              <w:t>12.2.6.3</w:t>
            </w:r>
          </w:p>
        </w:tc>
        <w:tc>
          <w:tcPr>
            <w:tcW w:type="dxa" w:w="4250"/>
            <w:gridSpan w:val="2"/>
            <w:vMerge w:val="restart"/>
            <w:tcBorders>
              <w:top w:color="000000" w:sz="4" w:val="single"/>
              <w:left w:color="000000" w:sz="4" w:val="single"/>
              <w:bottom w:color="000000" w:sz="4" w:val="single"/>
              <w:right w:color="000000" w:sz="4" w:val="single"/>
            </w:tcBorders>
          </w:tcPr>
          <w:p w14:paraId="26020000">
            <w:pPr>
              <w:widowControl w:val="1"/>
              <w:ind w:right="-113"/>
              <w:rPr>
                <w:sz w:val="24"/>
              </w:rPr>
            </w:pPr>
            <w:r>
              <w:rPr>
                <w:sz w:val="24"/>
              </w:rPr>
              <w:t>дополнительное образование (число обучающихся/</w:t>
            </w:r>
          </w:p>
          <w:p w14:paraId="27020000">
            <w:pPr>
              <w:widowControl w:val="1"/>
              <w:ind w:right="-113"/>
              <w:rPr>
                <w:sz w:val="24"/>
              </w:rPr>
            </w:pPr>
            <w:r>
              <w:rPr>
                <w:sz w:val="24"/>
              </w:rPr>
              <w:t xml:space="preserve">воспитанников, приходящихся на </w:t>
            </w:r>
          </w:p>
          <w:p w14:paraId="28020000">
            <w:pPr>
              <w:rPr>
                <w:sz w:val="24"/>
              </w:rPr>
            </w:pPr>
            <w:r>
              <w:rPr>
                <w:sz w:val="24"/>
              </w:rPr>
              <w:t>1 педагогического работника, чел.);</w:t>
            </w:r>
          </w:p>
        </w:tc>
        <w:tc>
          <w:tcPr>
            <w:tcW w:type="dxa" w:w="4111"/>
            <w:tcBorders>
              <w:top w:color="000000" w:sz="4" w:val="single"/>
              <w:left w:color="000000" w:sz="4" w:val="single"/>
              <w:bottom w:color="000000" w:sz="4" w:val="single"/>
              <w:right w:color="000000" w:sz="4" w:val="single"/>
            </w:tcBorders>
          </w:tcPr>
          <w:p w14:paraId="29020000">
            <w:pPr>
              <w:widowControl w:val="1"/>
              <w:spacing w:line="228" w:lineRule="auto"/>
              <w:ind/>
              <w:rPr>
                <w:sz w:val="24"/>
              </w:rPr>
            </w:pPr>
            <w:r>
              <w:rPr>
                <w:sz w:val="24"/>
              </w:rPr>
              <w:t>Управление образования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2A020000">
            <w:pPr>
              <w:widowControl w:val="1"/>
              <w:ind/>
              <w:jc w:val="center"/>
              <w:rPr>
                <w:sz w:val="24"/>
              </w:rPr>
            </w:pPr>
            <w:r>
              <w:rPr>
                <w:sz w:val="24"/>
              </w:rPr>
              <w:t>Дом творчества</w:t>
            </w:r>
          </w:p>
        </w:tc>
        <w:tc>
          <w:tcPr>
            <w:tcW w:type="dxa" w:w="1559"/>
            <w:tcBorders>
              <w:top w:color="000000" w:sz="4" w:val="single"/>
              <w:left w:color="000000" w:sz="4" w:val="single"/>
              <w:bottom w:color="000000" w:sz="4" w:val="single"/>
              <w:right w:color="000000" w:sz="4" w:val="single"/>
            </w:tcBorders>
          </w:tcPr>
          <w:p w14:paraId="2B020000">
            <w:pPr>
              <w:widowControl w:val="1"/>
              <w:ind/>
              <w:jc w:val="center"/>
              <w:rPr>
                <w:sz w:val="24"/>
              </w:rPr>
            </w:pPr>
            <w:r>
              <w:rPr>
                <w:sz w:val="24"/>
              </w:rPr>
              <w:t>77,52</w:t>
            </w:r>
          </w:p>
        </w:tc>
        <w:tc>
          <w:tcPr>
            <w:tcW w:type="dxa" w:w="1417"/>
            <w:tcBorders>
              <w:top w:color="000000" w:sz="4" w:val="single"/>
              <w:left w:color="000000" w:sz="4" w:val="single"/>
              <w:bottom w:color="000000" w:sz="4" w:val="single"/>
              <w:right w:color="000000" w:sz="4" w:val="single"/>
            </w:tcBorders>
          </w:tcPr>
          <w:p w14:paraId="2C020000">
            <w:pPr>
              <w:widowControl w:val="1"/>
              <w:ind/>
              <w:jc w:val="center"/>
              <w:rPr>
                <w:sz w:val="24"/>
              </w:rPr>
            </w:pPr>
            <w:r>
              <w:rPr>
                <w:sz w:val="24"/>
              </w:rPr>
              <w:t>77,52</w:t>
            </w:r>
          </w:p>
        </w:tc>
        <w:tc>
          <w:tcPr>
            <w:tcW w:type="dxa" w:w="1418"/>
            <w:tcBorders>
              <w:top w:color="000000" w:sz="4" w:val="single"/>
              <w:left w:color="000000" w:sz="4" w:val="single"/>
              <w:bottom w:color="000000" w:sz="4" w:val="single"/>
              <w:right w:color="000000" w:sz="4" w:val="single"/>
            </w:tcBorders>
          </w:tcPr>
          <w:p w14:paraId="2D020000">
            <w:pPr>
              <w:widowControl w:val="1"/>
              <w:ind/>
              <w:jc w:val="center"/>
              <w:rPr>
                <w:sz w:val="24"/>
              </w:rPr>
            </w:pPr>
            <w:r>
              <w:rPr>
                <w:sz w:val="24"/>
              </w:rPr>
              <w:t>77,5</w:t>
            </w:r>
            <w:r>
              <w:rPr>
                <w:sz w:val="24"/>
              </w:rPr>
              <w:t>2</w:t>
            </w:r>
          </w:p>
        </w:tc>
      </w:tr>
      <w:tr>
        <w:trPr>
          <w:trHeight w:hRule="atLeast" w:val="750"/>
        </w:trPr>
        <w:tc>
          <w:tcPr>
            <w:tcW w:type="dxa" w:w="996"/>
            <w:gridSpan w:val="1"/>
            <w:vMerge w:val="continue"/>
            <w:tcBorders>
              <w:top w:color="000000" w:sz="4" w:val="single"/>
              <w:left w:color="000000" w:sz="4" w:val="single"/>
              <w:bottom w:color="000000" w:sz="4" w:val="single"/>
              <w:right w:color="000000" w:sz="4" w:val="single"/>
            </w:tcBorders>
          </w:tcPr>
          <w:p/>
        </w:tc>
        <w:tc>
          <w:tcPr>
            <w:tcW w:type="dxa" w:w="4250"/>
            <w:gridSpan w:val="2"/>
            <w:vMerge w:val="continue"/>
            <w:tcBorders>
              <w:top w:color="000000" w:sz="4" w:val="single"/>
              <w:left w:color="000000" w:sz="4" w:val="single"/>
              <w:bottom w:color="000000" w:sz="4" w:val="single"/>
              <w:right w:color="000000" w:sz="4" w:val="single"/>
            </w:tcBorders>
          </w:tcPr>
          <w:p/>
        </w:tc>
        <w:tc>
          <w:tcPr>
            <w:tcW w:type="dxa" w:w="4111"/>
            <w:vMerge w:val="restart"/>
            <w:tcBorders>
              <w:top w:color="000000" w:sz="4" w:val="single"/>
              <w:left w:color="000000" w:sz="4" w:val="single"/>
              <w:bottom w:color="000000" w:sz="4" w:val="single"/>
              <w:right w:color="000000" w:sz="4" w:val="single"/>
            </w:tcBorders>
          </w:tcPr>
          <w:p w14:paraId="2E020000">
            <w:pPr>
              <w:widowControl w:val="1"/>
              <w:spacing w:line="228" w:lineRule="auto"/>
              <w:ind/>
              <w:rPr>
                <w:sz w:val="24"/>
              </w:rPr>
            </w:pPr>
            <w:r>
              <w:rPr>
                <w:sz w:val="24"/>
              </w:rPr>
              <w:t>Управление культуры; молодежной политики, спорта и туризма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2F020000">
            <w:pPr>
              <w:widowControl w:val="1"/>
              <w:ind/>
              <w:jc w:val="center"/>
              <w:rPr>
                <w:sz w:val="24"/>
              </w:rPr>
            </w:pPr>
            <w:r>
              <w:rPr>
                <w:sz w:val="24"/>
              </w:rPr>
              <w:t>Школа искусств</w:t>
            </w:r>
          </w:p>
        </w:tc>
        <w:tc>
          <w:tcPr>
            <w:tcW w:type="dxa" w:w="1559"/>
            <w:tcBorders>
              <w:top w:color="000000" w:sz="4" w:val="single"/>
              <w:left w:color="000000" w:sz="4" w:val="single"/>
              <w:bottom w:color="000000" w:sz="4" w:val="single"/>
              <w:right w:color="000000" w:sz="4" w:val="single"/>
            </w:tcBorders>
          </w:tcPr>
          <w:p w14:paraId="30020000">
            <w:pPr>
              <w:widowControl w:val="1"/>
              <w:ind/>
              <w:jc w:val="center"/>
              <w:rPr>
                <w:sz w:val="24"/>
              </w:rPr>
            </w:pPr>
            <w:r>
              <w:rPr>
                <w:sz w:val="24"/>
              </w:rPr>
              <w:t>18,78</w:t>
            </w:r>
          </w:p>
        </w:tc>
        <w:tc>
          <w:tcPr>
            <w:tcW w:type="dxa" w:w="1417"/>
            <w:tcBorders>
              <w:top w:color="000000" w:sz="4" w:val="single"/>
              <w:left w:color="000000" w:sz="4" w:val="single"/>
              <w:bottom w:color="000000" w:sz="4" w:val="single"/>
              <w:right w:color="000000" w:sz="4" w:val="single"/>
            </w:tcBorders>
          </w:tcPr>
          <w:p w14:paraId="31020000">
            <w:pPr>
              <w:widowControl w:val="1"/>
              <w:ind/>
              <w:jc w:val="center"/>
              <w:rPr>
                <w:sz w:val="24"/>
              </w:rPr>
            </w:pPr>
            <w:r>
              <w:rPr>
                <w:sz w:val="24"/>
              </w:rPr>
              <w:t>18,78</w:t>
            </w:r>
          </w:p>
        </w:tc>
        <w:tc>
          <w:tcPr>
            <w:tcW w:type="dxa" w:w="1418"/>
            <w:tcBorders>
              <w:top w:color="000000" w:sz="4" w:val="single"/>
              <w:left w:color="000000" w:sz="4" w:val="single"/>
              <w:bottom w:color="000000" w:sz="4" w:val="single"/>
              <w:right w:color="000000" w:sz="4" w:val="single"/>
            </w:tcBorders>
          </w:tcPr>
          <w:p w14:paraId="32020000">
            <w:pPr>
              <w:widowControl w:val="1"/>
              <w:ind/>
              <w:jc w:val="center"/>
              <w:rPr>
                <w:sz w:val="24"/>
              </w:rPr>
            </w:pPr>
            <w:r>
              <w:rPr>
                <w:sz w:val="24"/>
              </w:rPr>
              <w:t>18,78</w:t>
            </w:r>
          </w:p>
        </w:tc>
      </w:tr>
      <w:tr>
        <w:tc>
          <w:tcPr>
            <w:tcW w:type="dxa" w:w="996"/>
            <w:gridSpan w:val="1"/>
            <w:vMerge w:val="continue"/>
            <w:tcBorders>
              <w:top w:color="000000" w:sz="4" w:val="single"/>
              <w:left w:color="000000" w:sz="4" w:val="single"/>
              <w:bottom w:color="000000" w:sz="4" w:val="single"/>
              <w:right w:color="000000" w:sz="4" w:val="single"/>
            </w:tcBorders>
          </w:tcPr>
          <w:p/>
        </w:tc>
        <w:tc>
          <w:tcPr>
            <w:tcW w:type="dxa" w:w="4250"/>
            <w:gridSpan w:val="2"/>
            <w:vMerge w:val="continue"/>
            <w:tcBorders>
              <w:top w:color="000000" w:sz="4" w:val="single"/>
              <w:left w:color="000000" w:sz="4" w:val="single"/>
              <w:bottom w:color="000000" w:sz="4" w:val="single"/>
              <w:right w:color="000000" w:sz="4" w:val="single"/>
            </w:tcBorders>
          </w:tcPr>
          <w:p/>
        </w:tc>
        <w:tc>
          <w:tcPr>
            <w:tcW w:type="dxa" w:w="4111"/>
            <w:gridSpan w:val="1"/>
            <w:vMerge w:val="continue"/>
            <w:tcBorders>
              <w:top w:color="000000" w:sz="4" w:val="single"/>
              <w:left w:color="000000" w:sz="4" w:val="single"/>
              <w:bottom w:color="000000" w:sz="4" w:val="single"/>
              <w:right w:color="000000" w:sz="4" w:val="single"/>
            </w:tcBorders>
          </w:tcPr>
          <w:p/>
        </w:tc>
        <w:tc>
          <w:tcPr>
            <w:tcW w:type="dxa" w:w="1701"/>
            <w:tcBorders>
              <w:top w:color="000000" w:sz="4" w:val="single"/>
              <w:left w:color="000000" w:sz="4" w:val="single"/>
              <w:bottom w:color="000000" w:sz="4" w:val="single"/>
              <w:right w:color="000000" w:sz="4" w:val="single"/>
            </w:tcBorders>
          </w:tcPr>
          <w:p w14:paraId="33020000">
            <w:pPr>
              <w:widowControl w:val="1"/>
              <w:ind/>
              <w:jc w:val="center"/>
              <w:rPr>
                <w:sz w:val="24"/>
              </w:rPr>
            </w:pPr>
            <w:r>
              <w:rPr>
                <w:sz w:val="24"/>
              </w:rPr>
              <w:t>Спортивная школа</w:t>
            </w:r>
          </w:p>
        </w:tc>
        <w:tc>
          <w:tcPr>
            <w:tcW w:type="dxa" w:w="1559"/>
            <w:tcBorders>
              <w:top w:color="000000" w:sz="4" w:val="single"/>
              <w:left w:color="000000" w:sz="4" w:val="single"/>
              <w:bottom w:color="000000" w:sz="4" w:val="single"/>
              <w:right w:color="000000" w:sz="4" w:val="single"/>
            </w:tcBorders>
          </w:tcPr>
          <w:p w14:paraId="34020000">
            <w:pPr>
              <w:widowControl w:val="1"/>
              <w:ind/>
              <w:jc w:val="center"/>
              <w:rPr>
                <w:sz w:val="24"/>
              </w:rPr>
            </w:pPr>
            <w:r>
              <w:rPr>
                <w:sz w:val="24"/>
              </w:rPr>
              <w:t>43,71</w:t>
            </w:r>
          </w:p>
        </w:tc>
        <w:tc>
          <w:tcPr>
            <w:tcW w:type="dxa" w:w="1417"/>
            <w:tcBorders>
              <w:top w:color="000000" w:sz="4" w:val="single"/>
              <w:left w:color="000000" w:sz="4" w:val="single"/>
              <w:bottom w:color="000000" w:sz="4" w:val="single"/>
              <w:right w:color="000000" w:sz="4" w:val="single"/>
            </w:tcBorders>
          </w:tcPr>
          <w:p w14:paraId="35020000">
            <w:pPr>
              <w:widowControl w:val="1"/>
              <w:ind/>
              <w:jc w:val="center"/>
              <w:rPr>
                <w:sz w:val="24"/>
              </w:rPr>
            </w:pPr>
            <w:r>
              <w:rPr>
                <w:sz w:val="24"/>
              </w:rPr>
              <w:t>44,0</w:t>
            </w:r>
          </w:p>
        </w:tc>
        <w:tc>
          <w:tcPr>
            <w:tcW w:type="dxa" w:w="1418"/>
            <w:tcBorders>
              <w:top w:color="000000" w:sz="4" w:val="single"/>
              <w:left w:color="000000" w:sz="4" w:val="single"/>
              <w:bottom w:color="000000" w:sz="4" w:val="single"/>
              <w:right w:color="000000" w:sz="4" w:val="single"/>
            </w:tcBorders>
          </w:tcPr>
          <w:p w14:paraId="36020000">
            <w:pPr>
              <w:widowControl w:val="1"/>
              <w:ind/>
              <w:jc w:val="center"/>
              <w:rPr>
                <w:sz w:val="24"/>
              </w:rPr>
            </w:pPr>
            <w:r>
              <w:rPr>
                <w:sz w:val="24"/>
              </w:rPr>
              <w:t>44,0</w:t>
            </w:r>
          </w:p>
        </w:tc>
      </w:tr>
      <w:tr>
        <w:tc>
          <w:tcPr>
            <w:tcW w:type="dxa" w:w="996"/>
            <w:tcBorders>
              <w:top w:color="000000" w:sz="4" w:val="single"/>
              <w:left w:color="000000" w:sz="4" w:val="single"/>
              <w:bottom w:color="000000" w:sz="4" w:val="single"/>
              <w:right w:color="000000" w:sz="4" w:val="single"/>
            </w:tcBorders>
          </w:tcPr>
          <w:p w14:paraId="37020000">
            <w:pPr>
              <w:widowControl w:val="1"/>
              <w:ind/>
              <w:jc w:val="center"/>
              <w:rPr>
                <w:sz w:val="24"/>
              </w:rPr>
            </w:pPr>
            <w:r>
              <w:rPr>
                <w:sz w:val="24"/>
              </w:rPr>
              <w:t>12.2.6.4</w:t>
            </w:r>
          </w:p>
        </w:tc>
        <w:tc>
          <w:tcPr>
            <w:tcW w:type="dxa" w:w="4250"/>
            <w:gridSpan w:val="2"/>
            <w:tcBorders>
              <w:top w:color="000000" w:sz="4" w:val="single"/>
              <w:left w:color="000000" w:sz="4" w:val="single"/>
              <w:bottom w:color="000000" w:sz="4" w:val="single"/>
              <w:right w:color="000000" w:sz="4" w:val="single"/>
            </w:tcBorders>
          </w:tcPr>
          <w:p w14:paraId="38020000">
            <w:pPr>
              <w:rPr>
                <w:sz w:val="24"/>
              </w:rPr>
            </w:pPr>
            <w:r>
              <w:rPr>
                <w:sz w:val="24"/>
              </w:rPr>
              <w:t xml:space="preserve">социальное обслуживание населения (число получателей услуг на 1 социального </w:t>
            </w:r>
            <w:r>
              <w:rPr>
                <w:sz w:val="24"/>
              </w:rPr>
              <w:br/>
            </w:r>
            <w:r>
              <w:rPr>
                <w:sz w:val="24"/>
              </w:rPr>
              <w:t>работника, чел.);</w:t>
            </w:r>
          </w:p>
        </w:tc>
        <w:tc>
          <w:tcPr>
            <w:tcW w:type="dxa" w:w="4111"/>
            <w:tcBorders>
              <w:top w:color="000000" w:sz="4" w:val="single"/>
              <w:left w:color="000000" w:sz="4" w:val="single"/>
              <w:bottom w:color="000000" w:sz="4" w:val="single"/>
              <w:right w:color="000000" w:sz="4" w:val="single"/>
            </w:tcBorders>
          </w:tcPr>
          <w:p w14:paraId="39020000">
            <w:pPr>
              <w:widowControl w:val="1"/>
              <w:spacing w:line="228" w:lineRule="auto"/>
              <w:ind/>
              <w:rPr>
                <w:sz w:val="24"/>
              </w:rPr>
            </w:pPr>
            <w:r>
              <w:rPr>
                <w:sz w:val="24"/>
              </w:rPr>
              <w:t>Управление социальной защиты населения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3A02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3B020000">
            <w:pPr>
              <w:widowControl w:val="1"/>
              <w:ind/>
              <w:jc w:val="center"/>
              <w:rPr>
                <w:sz w:val="24"/>
              </w:rPr>
            </w:pPr>
            <w:r>
              <w:rPr>
                <w:sz w:val="24"/>
              </w:rPr>
              <w:t>12,0</w:t>
            </w:r>
          </w:p>
        </w:tc>
        <w:tc>
          <w:tcPr>
            <w:tcW w:type="dxa" w:w="1417"/>
            <w:tcBorders>
              <w:top w:color="000000" w:sz="4" w:val="single"/>
              <w:left w:color="000000" w:sz="4" w:val="single"/>
              <w:bottom w:color="000000" w:sz="4" w:val="single"/>
              <w:right w:color="000000" w:sz="4" w:val="single"/>
            </w:tcBorders>
          </w:tcPr>
          <w:p w14:paraId="3C020000">
            <w:pPr>
              <w:widowControl w:val="1"/>
              <w:ind/>
              <w:jc w:val="center"/>
              <w:rPr>
                <w:sz w:val="24"/>
              </w:rPr>
            </w:pPr>
            <w:r>
              <w:rPr>
                <w:sz w:val="24"/>
              </w:rPr>
              <w:t>12,0</w:t>
            </w:r>
          </w:p>
        </w:tc>
        <w:tc>
          <w:tcPr>
            <w:tcW w:type="dxa" w:w="1418"/>
            <w:tcBorders>
              <w:top w:color="000000" w:sz="4" w:val="single"/>
              <w:left w:color="000000" w:sz="4" w:val="single"/>
              <w:bottom w:color="000000" w:sz="4" w:val="single"/>
              <w:right w:color="000000" w:sz="4" w:val="single"/>
            </w:tcBorders>
          </w:tcPr>
          <w:p w14:paraId="3D020000">
            <w:pPr>
              <w:widowControl w:val="1"/>
              <w:ind/>
              <w:jc w:val="center"/>
              <w:rPr>
                <w:sz w:val="24"/>
              </w:rPr>
            </w:pPr>
            <w:r>
              <w:rPr>
                <w:sz w:val="24"/>
              </w:rPr>
              <w:t>12,0</w:t>
            </w:r>
          </w:p>
        </w:tc>
      </w:tr>
      <w:tr>
        <w:tc>
          <w:tcPr>
            <w:tcW w:type="dxa" w:w="996"/>
            <w:tcBorders>
              <w:top w:color="000000" w:sz="4" w:val="single"/>
              <w:left w:color="000000" w:sz="4" w:val="single"/>
              <w:bottom w:color="000000" w:sz="4" w:val="single"/>
              <w:right w:color="000000" w:sz="4" w:val="single"/>
            </w:tcBorders>
          </w:tcPr>
          <w:p w14:paraId="3E020000">
            <w:pPr>
              <w:widowControl w:val="1"/>
              <w:ind/>
              <w:jc w:val="center"/>
              <w:rPr>
                <w:sz w:val="24"/>
              </w:rPr>
            </w:pPr>
            <w:r>
              <w:rPr>
                <w:sz w:val="24"/>
              </w:rPr>
              <w:t>12.2.6.5</w:t>
            </w:r>
          </w:p>
        </w:tc>
        <w:tc>
          <w:tcPr>
            <w:tcW w:type="dxa" w:w="4250"/>
            <w:gridSpan w:val="2"/>
            <w:tcBorders>
              <w:top w:color="000000" w:sz="4" w:val="single"/>
              <w:left w:color="000000" w:sz="4" w:val="single"/>
              <w:bottom w:color="000000" w:sz="4" w:val="single"/>
              <w:right w:color="000000" w:sz="4" w:val="single"/>
            </w:tcBorders>
          </w:tcPr>
          <w:p w14:paraId="3F020000">
            <w:pPr>
              <w:rPr>
                <w:sz w:val="24"/>
              </w:rPr>
            </w:pPr>
            <w:r>
              <w:rPr>
                <w:sz w:val="24"/>
              </w:rPr>
              <w:t>культура (число получателей услуг на 1 работника культуры, чел.)</w:t>
            </w:r>
          </w:p>
        </w:tc>
        <w:tc>
          <w:tcPr>
            <w:tcW w:type="dxa" w:w="4111"/>
            <w:tcBorders>
              <w:top w:color="000000" w:sz="4" w:val="single"/>
              <w:left w:color="000000" w:sz="4" w:val="single"/>
              <w:bottom w:color="000000" w:sz="4" w:val="single"/>
              <w:right w:color="000000" w:sz="4" w:val="single"/>
            </w:tcBorders>
          </w:tcPr>
          <w:p w14:paraId="40020000">
            <w:pPr>
              <w:widowControl w:val="1"/>
              <w:spacing w:line="228" w:lineRule="auto"/>
              <w:ind/>
              <w:rPr>
                <w:sz w:val="24"/>
              </w:rPr>
            </w:pPr>
            <w:r>
              <w:rPr>
                <w:sz w:val="24"/>
              </w:rPr>
              <w:t>Управление культуры, молодежной политики, спорта и туризма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41020000">
            <w:pPr>
              <w:widowControl w:val="1"/>
              <w:ind/>
              <w:jc w:val="center"/>
              <w:rPr>
                <w:sz w:val="24"/>
              </w:rPr>
            </w:pPr>
          </w:p>
        </w:tc>
        <w:tc>
          <w:tcPr>
            <w:tcW w:type="dxa" w:w="1559"/>
            <w:tcBorders>
              <w:top w:color="000000" w:sz="4" w:val="single"/>
              <w:left w:color="000000" w:sz="4" w:val="single"/>
              <w:bottom w:color="000000" w:sz="4" w:val="single"/>
              <w:right w:color="000000" w:sz="4" w:val="single"/>
            </w:tcBorders>
          </w:tcPr>
          <w:p w14:paraId="42020000">
            <w:pPr>
              <w:widowControl w:val="1"/>
              <w:ind/>
              <w:jc w:val="center"/>
              <w:rPr>
                <w:sz w:val="24"/>
              </w:rPr>
            </w:pPr>
            <w:r>
              <w:rPr>
                <w:sz w:val="24"/>
              </w:rPr>
              <w:t>187,0</w:t>
            </w:r>
          </w:p>
        </w:tc>
        <w:tc>
          <w:tcPr>
            <w:tcW w:type="dxa" w:w="1417"/>
            <w:tcBorders>
              <w:top w:color="000000" w:sz="4" w:val="single"/>
              <w:left w:color="000000" w:sz="4" w:val="single"/>
              <w:bottom w:color="000000" w:sz="4" w:val="single"/>
              <w:right w:color="000000" w:sz="4" w:val="single"/>
            </w:tcBorders>
          </w:tcPr>
          <w:p w14:paraId="43020000">
            <w:pPr>
              <w:widowControl w:val="1"/>
              <w:ind/>
              <w:jc w:val="center"/>
              <w:rPr>
                <w:sz w:val="24"/>
              </w:rPr>
            </w:pPr>
            <w:r>
              <w:rPr>
                <w:sz w:val="24"/>
              </w:rPr>
              <w:t>187,0</w:t>
            </w:r>
          </w:p>
        </w:tc>
        <w:tc>
          <w:tcPr>
            <w:tcW w:type="dxa" w:w="1418"/>
            <w:tcBorders>
              <w:top w:color="000000" w:sz="4" w:val="single"/>
              <w:left w:color="000000" w:sz="4" w:val="single"/>
              <w:bottom w:color="000000" w:sz="4" w:val="single"/>
              <w:right w:color="000000" w:sz="4" w:val="single"/>
            </w:tcBorders>
          </w:tcPr>
          <w:p w14:paraId="44020000">
            <w:pPr>
              <w:widowControl w:val="1"/>
              <w:ind/>
              <w:jc w:val="center"/>
              <w:rPr>
                <w:sz w:val="24"/>
              </w:rPr>
            </w:pPr>
            <w:r>
              <w:rPr>
                <w:sz w:val="24"/>
              </w:rPr>
              <w:t>187,0</w:t>
            </w:r>
          </w:p>
        </w:tc>
      </w:tr>
      <w:tr>
        <w:tc>
          <w:tcPr>
            <w:tcW w:type="dxa" w:w="996"/>
            <w:tcBorders>
              <w:top w:color="000000" w:sz="4" w:val="single"/>
              <w:left w:color="000000" w:sz="4" w:val="single"/>
              <w:bottom w:color="000000" w:sz="4" w:val="single"/>
              <w:right w:color="000000" w:sz="4" w:val="single"/>
            </w:tcBorders>
          </w:tcPr>
          <w:p w14:paraId="45020000">
            <w:pPr>
              <w:widowControl w:val="1"/>
              <w:ind/>
              <w:jc w:val="center"/>
              <w:rPr>
                <w:sz w:val="24"/>
              </w:rPr>
            </w:pPr>
            <w:r>
              <w:rPr>
                <w:sz w:val="24"/>
              </w:rPr>
              <w:t>12.2.7</w:t>
            </w:r>
          </w:p>
        </w:tc>
        <w:tc>
          <w:tcPr>
            <w:tcW w:type="dxa" w:w="4250"/>
            <w:gridSpan w:val="2"/>
            <w:tcBorders>
              <w:top w:color="000000" w:sz="4" w:val="single"/>
              <w:left w:color="000000" w:sz="4" w:val="single"/>
              <w:bottom w:color="000000" w:sz="4" w:val="single"/>
              <w:right w:color="000000" w:sz="4" w:val="single"/>
            </w:tcBorders>
          </w:tcPr>
          <w:p w14:paraId="46020000">
            <w:pPr>
              <w:rPr>
                <w:sz w:val="24"/>
              </w:rPr>
            </w:pPr>
            <w:r>
              <w:rPr>
                <w:sz w:val="24"/>
              </w:rPr>
              <w:t>Соблюдение коэффициента кратности количества руководителей и работников учреждений, в том числе предельного уровня соотношения средней заработной платы руководителей и средней заработной платы работников</w:t>
            </w:r>
          </w:p>
        </w:tc>
        <w:tc>
          <w:tcPr>
            <w:tcW w:type="dxa" w:w="4111"/>
            <w:tcBorders>
              <w:top w:color="000000" w:sz="4" w:val="single"/>
              <w:left w:color="000000" w:sz="4" w:val="single"/>
              <w:bottom w:color="000000" w:sz="4" w:val="single"/>
              <w:right w:color="000000" w:sz="4" w:val="single"/>
            </w:tcBorders>
          </w:tcPr>
          <w:p w14:paraId="47020000">
            <w:pPr>
              <w:rPr>
                <w:sz w:val="24"/>
              </w:rPr>
            </w:pPr>
            <w:r>
              <w:rPr>
                <w:sz w:val="24"/>
              </w:rPr>
              <w:t xml:space="preserve">ОМСУ Крапивинского муниципального округа, имеющие подведомственные учреждения </w:t>
            </w:r>
          </w:p>
        </w:tc>
        <w:tc>
          <w:tcPr>
            <w:tcW w:type="dxa" w:w="1701"/>
            <w:tcBorders>
              <w:top w:color="000000" w:sz="4" w:val="single"/>
              <w:left w:color="000000" w:sz="4" w:val="single"/>
              <w:bottom w:color="000000" w:sz="4" w:val="single"/>
              <w:right w:color="000000" w:sz="4" w:val="single"/>
            </w:tcBorders>
          </w:tcPr>
          <w:p w14:paraId="48020000">
            <w:pPr>
              <w:widowControl w:val="1"/>
              <w:ind/>
              <w:jc w:val="center"/>
              <w:rPr>
                <w:sz w:val="24"/>
              </w:rPr>
            </w:pPr>
            <w:r>
              <w:rPr>
                <w:sz w:val="24"/>
              </w:rPr>
              <w:t>202</w:t>
            </w:r>
            <w:r>
              <w:rPr>
                <w:sz w:val="24"/>
              </w:rPr>
              <w:t>5</w:t>
            </w:r>
            <w:r>
              <w:rPr>
                <w:sz w:val="24"/>
              </w:rPr>
              <w:t>–</w:t>
            </w:r>
          </w:p>
          <w:p w14:paraId="4902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4A020000">
            <w:pPr>
              <w:widowControl w:val="1"/>
              <w:ind/>
              <w:jc w:val="center"/>
              <w:rPr>
                <w:sz w:val="24"/>
              </w:rPr>
            </w:pPr>
            <w:r>
              <w:rPr>
                <w:sz w:val="24"/>
              </w:rPr>
              <w:t>1:</w:t>
            </w:r>
            <w:r>
              <w:rPr>
                <w:sz w:val="24"/>
              </w:rPr>
              <w:t>3</w:t>
            </w:r>
          </w:p>
        </w:tc>
        <w:tc>
          <w:tcPr>
            <w:tcW w:type="dxa" w:w="1417"/>
            <w:tcBorders>
              <w:top w:color="000000" w:sz="4" w:val="single"/>
              <w:left w:color="000000" w:sz="4" w:val="single"/>
              <w:bottom w:color="000000" w:sz="4" w:val="single"/>
              <w:right w:color="000000" w:sz="4" w:val="single"/>
            </w:tcBorders>
          </w:tcPr>
          <w:p w14:paraId="4B020000">
            <w:pPr>
              <w:widowControl w:val="1"/>
              <w:ind/>
              <w:jc w:val="center"/>
              <w:rPr>
                <w:sz w:val="24"/>
              </w:rPr>
            </w:pPr>
            <w:r>
              <w:rPr>
                <w:sz w:val="24"/>
              </w:rPr>
              <w:t>1:</w:t>
            </w:r>
            <w:r>
              <w:rPr>
                <w:sz w:val="24"/>
              </w:rPr>
              <w:t>3</w:t>
            </w:r>
          </w:p>
        </w:tc>
        <w:tc>
          <w:tcPr>
            <w:tcW w:type="dxa" w:w="1418"/>
            <w:tcBorders>
              <w:top w:color="000000" w:sz="4" w:val="single"/>
              <w:left w:color="000000" w:sz="4" w:val="single"/>
              <w:bottom w:color="000000" w:sz="4" w:val="single"/>
              <w:right w:color="000000" w:sz="4" w:val="single"/>
            </w:tcBorders>
          </w:tcPr>
          <w:p w14:paraId="4C020000">
            <w:pPr>
              <w:widowControl w:val="1"/>
              <w:ind/>
              <w:jc w:val="center"/>
              <w:rPr>
                <w:sz w:val="24"/>
              </w:rPr>
            </w:pPr>
            <w:r>
              <w:rPr>
                <w:sz w:val="24"/>
              </w:rPr>
              <w:t>1:</w:t>
            </w:r>
            <w:r>
              <w:rPr>
                <w:sz w:val="24"/>
              </w:rPr>
              <w:t>3</w:t>
            </w:r>
          </w:p>
        </w:tc>
      </w:tr>
      <w:tr>
        <w:tc>
          <w:tcPr>
            <w:tcW w:type="dxa" w:w="1005"/>
            <w:gridSpan w:val="2"/>
            <w:tcBorders>
              <w:top w:color="000000" w:sz="4" w:val="single"/>
              <w:left w:color="000000" w:sz="4" w:val="single"/>
              <w:bottom w:color="000000" w:sz="4" w:val="single"/>
              <w:right w:color="000000" w:sz="4" w:val="single"/>
            </w:tcBorders>
          </w:tcPr>
          <w:p w14:paraId="4D020000">
            <w:pPr>
              <w:widowControl w:val="1"/>
              <w:ind/>
              <w:jc w:val="center"/>
              <w:rPr>
                <w:sz w:val="24"/>
              </w:rPr>
            </w:pPr>
            <w:r>
              <w:rPr>
                <w:sz w:val="24"/>
              </w:rPr>
              <w:t>13</w:t>
            </w:r>
          </w:p>
        </w:tc>
        <w:tc>
          <w:tcPr>
            <w:tcW w:type="dxa" w:w="4241"/>
            <w:tcBorders>
              <w:top w:color="000000" w:sz="4" w:val="single"/>
              <w:left w:color="000000" w:sz="4" w:val="single"/>
              <w:bottom w:color="000000" w:sz="4" w:val="single"/>
              <w:right w:color="000000" w:sz="4" w:val="single"/>
            </w:tcBorders>
          </w:tcPr>
          <w:p w14:paraId="4E020000">
            <w:pPr>
              <w:rPr>
                <w:sz w:val="24"/>
              </w:rPr>
            </w:pPr>
            <w:r>
              <w:rPr>
                <w:sz w:val="24"/>
              </w:rPr>
              <w:t>Реализация мероприятий по энергосбережению</w:t>
            </w:r>
          </w:p>
        </w:tc>
        <w:tc>
          <w:tcPr>
            <w:tcW w:type="dxa" w:w="4111"/>
            <w:tcBorders>
              <w:top w:color="000000" w:sz="4" w:val="single"/>
              <w:left w:color="000000" w:sz="4" w:val="single"/>
              <w:bottom w:color="000000" w:sz="4" w:val="single"/>
              <w:right w:color="000000" w:sz="4" w:val="single"/>
            </w:tcBorders>
          </w:tcPr>
          <w:p w14:paraId="4F020000">
            <w:pPr>
              <w:rPr>
                <w:sz w:val="24"/>
              </w:rPr>
            </w:pPr>
            <w:r>
              <w:rPr>
                <w:sz w:val="24"/>
              </w:rPr>
              <w:t xml:space="preserve">ОМСУ Крапивинского муниципального округа </w:t>
            </w:r>
            <w:r>
              <w:rPr>
                <w:sz w:val="24"/>
              </w:rPr>
              <w:t xml:space="preserve">и </w:t>
            </w:r>
            <w:r>
              <w:rPr>
                <w:sz w:val="24"/>
              </w:rPr>
              <w:t xml:space="preserve">муниципальные </w:t>
            </w:r>
            <w:r>
              <w:rPr>
                <w:sz w:val="24"/>
              </w:rPr>
              <w:t>учреждения округа</w:t>
            </w:r>
          </w:p>
        </w:tc>
        <w:tc>
          <w:tcPr>
            <w:tcW w:type="dxa" w:w="1701"/>
            <w:tcBorders>
              <w:top w:color="000000" w:sz="4" w:val="single"/>
              <w:left w:color="000000" w:sz="4" w:val="single"/>
              <w:bottom w:color="000000" w:sz="4" w:val="single"/>
              <w:right w:color="000000" w:sz="4" w:val="single"/>
            </w:tcBorders>
          </w:tcPr>
          <w:p w14:paraId="50020000">
            <w:pPr>
              <w:widowControl w:val="1"/>
              <w:ind/>
              <w:jc w:val="center"/>
              <w:rPr>
                <w:sz w:val="24"/>
              </w:rPr>
            </w:pPr>
            <w:r>
              <w:rPr>
                <w:sz w:val="24"/>
              </w:rPr>
              <w:t>202</w:t>
            </w:r>
            <w:r>
              <w:rPr>
                <w:sz w:val="24"/>
              </w:rPr>
              <w:t>5</w:t>
            </w:r>
            <w:r>
              <w:rPr>
                <w:sz w:val="24"/>
              </w:rPr>
              <w:t>–</w:t>
            </w:r>
          </w:p>
          <w:p w14:paraId="5102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52020000">
            <w:pPr>
              <w:widowControl w:val="1"/>
              <w:ind/>
              <w:jc w:val="center"/>
              <w:rPr>
                <w:sz w:val="24"/>
              </w:rPr>
            </w:pPr>
            <w:r>
              <w:rPr>
                <w:sz w:val="24"/>
              </w:rPr>
              <w:t>1000</w:t>
            </w:r>
            <w:r>
              <w:rPr>
                <w:sz w:val="24"/>
              </w:rPr>
              <w:t>,0</w:t>
            </w:r>
          </w:p>
        </w:tc>
        <w:tc>
          <w:tcPr>
            <w:tcW w:type="dxa" w:w="1417"/>
            <w:tcBorders>
              <w:top w:color="000000" w:sz="4" w:val="single"/>
              <w:left w:color="000000" w:sz="4" w:val="single"/>
              <w:bottom w:color="000000" w:sz="4" w:val="single"/>
              <w:right w:color="000000" w:sz="4" w:val="single"/>
            </w:tcBorders>
          </w:tcPr>
          <w:p w14:paraId="53020000">
            <w:pPr>
              <w:widowControl w:val="1"/>
              <w:ind/>
              <w:jc w:val="center"/>
              <w:rPr>
                <w:sz w:val="24"/>
              </w:rPr>
            </w:pPr>
            <w:r>
              <w:rPr>
                <w:sz w:val="24"/>
              </w:rPr>
              <w:t>150,0</w:t>
            </w:r>
          </w:p>
        </w:tc>
        <w:tc>
          <w:tcPr>
            <w:tcW w:type="dxa" w:w="1418"/>
            <w:tcBorders>
              <w:top w:color="000000" w:sz="4" w:val="single"/>
              <w:left w:color="000000" w:sz="4" w:val="single"/>
              <w:bottom w:color="000000" w:sz="4" w:val="single"/>
              <w:right w:color="000000" w:sz="4" w:val="single"/>
            </w:tcBorders>
          </w:tcPr>
          <w:p w14:paraId="54020000">
            <w:pPr>
              <w:widowControl w:val="1"/>
              <w:ind/>
              <w:jc w:val="center"/>
              <w:rPr>
                <w:sz w:val="24"/>
              </w:rPr>
            </w:pPr>
            <w:r>
              <w:rPr>
                <w:sz w:val="24"/>
              </w:rPr>
              <w:t>1</w:t>
            </w:r>
            <w:r>
              <w:rPr>
                <w:sz w:val="24"/>
              </w:rPr>
              <w:t>0</w:t>
            </w:r>
            <w:r>
              <w:rPr>
                <w:sz w:val="24"/>
              </w:rPr>
              <w:t>0,0</w:t>
            </w:r>
          </w:p>
        </w:tc>
      </w:tr>
      <w:tr>
        <w:tc>
          <w:tcPr>
            <w:tcW w:type="dxa" w:w="1005"/>
            <w:gridSpan w:val="2"/>
            <w:tcBorders>
              <w:top w:color="000000" w:sz="4" w:val="single"/>
              <w:left w:color="000000" w:sz="4" w:val="single"/>
              <w:bottom w:color="000000" w:sz="4" w:val="single"/>
              <w:right w:color="000000" w:sz="4" w:val="single"/>
            </w:tcBorders>
          </w:tcPr>
          <w:p w14:paraId="55020000">
            <w:pPr>
              <w:widowControl w:val="1"/>
              <w:ind/>
              <w:jc w:val="center"/>
              <w:rPr>
                <w:sz w:val="24"/>
              </w:rPr>
            </w:pPr>
            <w:r>
              <w:rPr>
                <w:sz w:val="24"/>
              </w:rPr>
              <w:t>14</w:t>
            </w:r>
          </w:p>
        </w:tc>
        <w:tc>
          <w:tcPr>
            <w:tcW w:type="dxa" w:w="4241"/>
            <w:tcBorders>
              <w:top w:color="000000" w:sz="4" w:val="single"/>
              <w:left w:color="000000" w:sz="4" w:val="single"/>
              <w:bottom w:color="000000" w:sz="4" w:val="single"/>
              <w:right w:color="000000" w:sz="4" w:val="single"/>
            </w:tcBorders>
          </w:tcPr>
          <w:p w14:paraId="56020000">
            <w:pPr>
              <w:rPr>
                <w:sz w:val="24"/>
              </w:rPr>
            </w:pPr>
            <w:r>
              <w:rPr>
                <w:sz w:val="24"/>
              </w:rPr>
              <w:t>Повышение эффективности муниципальных закупок в целях экономии в ходе закупочных процедур при условии соблюдения качества товаров, работ, услуг и требований законодательства</w:t>
            </w:r>
          </w:p>
        </w:tc>
        <w:tc>
          <w:tcPr>
            <w:tcW w:type="dxa" w:w="4111"/>
            <w:tcBorders>
              <w:top w:color="000000" w:sz="4" w:val="single"/>
              <w:left w:color="000000" w:sz="4" w:val="single"/>
              <w:bottom w:color="000000" w:sz="4" w:val="single"/>
              <w:right w:color="000000" w:sz="4" w:val="single"/>
            </w:tcBorders>
          </w:tcPr>
          <w:p w14:paraId="57020000">
            <w:pPr>
              <w:rPr>
                <w:sz w:val="24"/>
              </w:rPr>
            </w:pPr>
            <w:r>
              <w:rPr>
                <w:sz w:val="24"/>
              </w:rPr>
              <w:t>Отдел муниципальных закупок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58020000">
            <w:pPr>
              <w:widowControl w:val="1"/>
              <w:ind/>
              <w:jc w:val="center"/>
              <w:rPr>
                <w:sz w:val="24"/>
              </w:rPr>
            </w:pPr>
            <w:r>
              <w:rPr>
                <w:sz w:val="24"/>
              </w:rPr>
              <w:t>202</w:t>
            </w:r>
            <w:r>
              <w:rPr>
                <w:sz w:val="24"/>
              </w:rPr>
              <w:t>5</w:t>
            </w:r>
            <w:r>
              <w:rPr>
                <w:sz w:val="24"/>
              </w:rPr>
              <w:t>–</w:t>
            </w:r>
          </w:p>
          <w:p w14:paraId="5902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5A020000">
            <w:pPr>
              <w:widowControl w:val="1"/>
              <w:ind/>
              <w:jc w:val="center"/>
              <w:rPr>
                <w:sz w:val="24"/>
              </w:rPr>
            </w:pPr>
            <w:r>
              <w:rPr>
                <w:sz w:val="24"/>
              </w:rPr>
              <w:t>Э</w:t>
            </w:r>
            <w:r>
              <w:rPr>
                <w:sz w:val="24"/>
              </w:rPr>
              <w:t xml:space="preserve">кономия </w:t>
            </w:r>
            <w:r>
              <w:rPr>
                <w:sz w:val="24"/>
              </w:rPr>
              <w:br/>
            </w:r>
            <w:r>
              <w:rPr>
                <w:sz w:val="24"/>
              </w:rPr>
              <w:t>до 5%</w:t>
            </w:r>
          </w:p>
        </w:tc>
        <w:tc>
          <w:tcPr>
            <w:tcW w:type="dxa" w:w="1417"/>
            <w:tcBorders>
              <w:top w:color="000000" w:sz="4" w:val="single"/>
              <w:left w:color="000000" w:sz="4" w:val="single"/>
              <w:bottom w:color="000000" w:sz="4" w:val="single"/>
              <w:right w:color="000000" w:sz="4" w:val="single"/>
            </w:tcBorders>
          </w:tcPr>
          <w:p w14:paraId="5B020000">
            <w:pPr>
              <w:widowControl w:val="1"/>
              <w:ind/>
              <w:jc w:val="center"/>
              <w:rPr>
                <w:sz w:val="24"/>
              </w:rPr>
            </w:pPr>
            <w:r>
              <w:rPr>
                <w:sz w:val="24"/>
              </w:rPr>
              <w:t>Э</w:t>
            </w:r>
            <w:r>
              <w:rPr>
                <w:sz w:val="24"/>
              </w:rPr>
              <w:t xml:space="preserve">кономия </w:t>
            </w:r>
            <w:r>
              <w:rPr>
                <w:sz w:val="24"/>
              </w:rPr>
              <w:br/>
            </w:r>
            <w:r>
              <w:rPr>
                <w:sz w:val="24"/>
              </w:rPr>
              <w:t>до 5%</w:t>
            </w:r>
          </w:p>
        </w:tc>
        <w:tc>
          <w:tcPr>
            <w:tcW w:type="dxa" w:w="1418"/>
            <w:tcBorders>
              <w:top w:color="000000" w:sz="4" w:val="single"/>
              <w:left w:color="000000" w:sz="4" w:val="single"/>
              <w:bottom w:color="000000" w:sz="4" w:val="single"/>
              <w:right w:color="000000" w:sz="4" w:val="single"/>
            </w:tcBorders>
          </w:tcPr>
          <w:p w14:paraId="5C020000">
            <w:pPr>
              <w:widowControl w:val="1"/>
              <w:ind/>
              <w:jc w:val="center"/>
              <w:rPr>
                <w:sz w:val="24"/>
              </w:rPr>
            </w:pPr>
            <w:r>
              <w:rPr>
                <w:sz w:val="24"/>
              </w:rPr>
              <w:t>Э</w:t>
            </w:r>
            <w:r>
              <w:rPr>
                <w:sz w:val="24"/>
              </w:rPr>
              <w:t xml:space="preserve">кономия </w:t>
            </w:r>
            <w:r>
              <w:rPr>
                <w:sz w:val="24"/>
              </w:rPr>
              <w:br/>
            </w:r>
            <w:r>
              <w:rPr>
                <w:sz w:val="24"/>
              </w:rPr>
              <w:t>до 5%</w:t>
            </w:r>
          </w:p>
        </w:tc>
      </w:tr>
      <w:tr>
        <w:trPr>
          <w:trHeight w:hRule="atLeast" w:val="1429"/>
        </w:trPr>
        <w:tc>
          <w:tcPr>
            <w:tcW w:type="dxa" w:w="1005"/>
            <w:gridSpan w:val="2"/>
            <w:tcBorders>
              <w:top w:color="000000" w:sz="4" w:val="single"/>
              <w:left w:color="000000" w:sz="4" w:val="single"/>
              <w:bottom w:color="000000" w:sz="4" w:val="single"/>
              <w:right w:color="000000" w:sz="4" w:val="single"/>
            </w:tcBorders>
          </w:tcPr>
          <w:p w14:paraId="5D020000">
            <w:pPr>
              <w:widowControl w:val="1"/>
              <w:ind/>
              <w:jc w:val="center"/>
              <w:rPr>
                <w:sz w:val="24"/>
              </w:rPr>
            </w:pPr>
            <w:r>
              <w:rPr>
                <w:sz w:val="24"/>
              </w:rPr>
              <w:t>15</w:t>
            </w:r>
          </w:p>
        </w:tc>
        <w:tc>
          <w:tcPr>
            <w:tcW w:type="dxa" w:w="4241"/>
            <w:tcBorders>
              <w:top w:color="000000" w:sz="4" w:val="single"/>
              <w:left w:color="000000" w:sz="4" w:val="single"/>
              <w:bottom w:color="000000" w:sz="4" w:val="single"/>
              <w:right w:color="000000" w:sz="4" w:val="single"/>
            </w:tcBorders>
          </w:tcPr>
          <w:p w14:paraId="5E020000">
            <w:pPr>
              <w:rPr>
                <w:sz w:val="24"/>
              </w:rPr>
            </w:pPr>
            <w:r>
              <w:rPr>
                <w:sz w:val="24"/>
              </w:rPr>
              <w:t>Снижение уровня просроченной кредиторской задолженности к общему объему расходов  бюджета Крапивинского муниципального округа</w:t>
            </w:r>
          </w:p>
        </w:tc>
        <w:tc>
          <w:tcPr>
            <w:tcW w:type="dxa" w:w="4111"/>
            <w:tcBorders>
              <w:top w:color="000000" w:sz="4" w:val="single"/>
              <w:left w:color="000000" w:sz="4" w:val="single"/>
              <w:bottom w:color="000000" w:sz="4" w:val="single"/>
              <w:right w:color="000000" w:sz="4" w:val="single"/>
            </w:tcBorders>
          </w:tcPr>
          <w:p w14:paraId="5F020000">
            <w:pPr>
              <w:rPr>
                <w:sz w:val="24"/>
              </w:rPr>
            </w:pPr>
            <w:r>
              <w:rPr>
                <w:sz w:val="24"/>
              </w:rPr>
              <w:t>Финансовое управление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60020000">
            <w:pPr>
              <w:widowControl w:val="1"/>
              <w:ind/>
              <w:jc w:val="center"/>
              <w:rPr>
                <w:sz w:val="24"/>
              </w:rPr>
            </w:pPr>
            <w:r>
              <w:rPr>
                <w:sz w:val="24"/>
              </w:rPr>
              <w:t>202</w:t>
            </w:r>
            <w:r>
              <w:rPr>
                <w:sz w:val="24"/>
              </w:rPr>
              <w:t>5</w:t>
            </w:r>
            <w:r>
              <w:rPr>
                <w:sz w:val="24"/>
              </w:rPr>
              <w:t>–</w:t>
            </w:r>
          </w:p>
          <w:p w14:paraId="6102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62020000">
            <w:pPr>
              <w:widowControl w:val="1"/>
              <w:ind/>
              <w:jc w:val="center"/>
              <w:rPr>
                <w:sz w:val="24"/>
              </w:rPr>
            </w:pPr>
            <w:r>
              <w:rPr>
                <w:sz w:val="24"/>
              </w:rPr>
              <w:t>Н</w:t>
            </w:r>
            <w:r>
              <w:rPr>
                <w:sz w:val="24"/>
              </w:rPr>
              <w:t>е более 0,</w:t>
            </w:r>
            <w:r>
              <w:rPr>
                <w:sz w:val="24"/>
              </w:rPr>
              <w:t>0</w:t>
            </w:r>
            <w:r>
              <w:rPr>
                <w:sz w:val="24"/>
              </w:rPr>
              <w:t>%</w:t>
            </w:r>
          </w:p>
        </w:tc>
        <w:tc>
          <w:tcPr>
            <w:tcW w:type="dxa" w:w="1417"/>
            <w:tcBorders>
              <w:top w:color="000000" w:sz="4" w:val="single"/>
              <w:left w:color="000000" w:sz="4" w:val="single"/>
              <w:bottom w:color="000000" w:sz="4" w:val="single"/>
              <w:right w:color="000000" w:sz="4" w:val="single"/>
            </w:tcBorders>
          </w:tcPr>
          <w:p w14:paraId="63020000">
            <w:pPr>
              <w:widowControl w:val="1"/>
              <w:ind/>
              <w:jc w:val="center"/>
              <w:rPr>
                <w:sz w:val="24"/>
              </w:rPr>
            </w:pPr>
            <w:r>
              <w:rPr>
                <w:sz w:val="24"/>
              </w:rPr>
              <w:t>Н</w:t>
            </w:r>
            <w:r>
              <w:rPr>
                <w:sz w:val="24"/>
              </w:rPr>
              <w:t>е более 0,</w:t>
            </w:r>
            <w:r>
              <w:rPr>
                <w:sz w:val="24"/>
              </w:rPr>
              <w:t>0</w:t>
            </w:r>
            <w:r>
              <w:rPr>
                <w:sz w:val="24"/>
              </w:rPr>
              <w:t>%</w:t>
            </w:r>
          </w:p>
        </w:tc>
        <w:tc>
          <w:tcPr>
            <w:tcW w:type="dxa" w:w="1418"/>
            <w:tcBorders>
              <w:top w:color="000000" w:sz="4" w:val="single"/>
              <w:left w:color="000000" w:sz="4" w:val="single"/>
              <w:bottom w:color="000000" w:sz="4" w:val="single"/>
              <w:right w:color="000000" w:sz="4" w:val="single"/>
            </w:tcBorders>
          </w:tcPr>
          <w:p w14:paraId="64020000">
            <w:pPr>
              <w:rPr>
                <w:sz w:val="24"/>
              </w:rPr>
            </w:pPr>
            <w:r>
              <w:rPr>
                <w:sz w:val="24"/>
              </w:rPr>
              <w:t>Н</w:t>
            </w:r>
            <w:r>
              <w:rPr>
                <w:sz w:val="24"/>
              </w:rPr>
              <w:t xml:space="preserve">е </w:t>
            </w:r>
            <w:r>
              <w:rPr>
                <w:sz w:val="24"/>
              </w:rPr>
              <w:t>б</w:t>
            </w:r>
            <w:r>
              <w:rPr>
                <w:sz w:val="24"/>
              </w:rPr>
              <w:t>олее 0,</w:t>
            </w:r>
            <w:r>
              <w:rPr>
                <w:sz w:val="24"/>
              </w:rPr>
              <w:t>0</w:t>
            </w:r>
            <w:r>
              <w:rPr>
                <w:sz w:val="24"/>
              </w:rPr>
              <w:t>%</w:t>
            </w:r>
          </w:p>
        </w:tc>
      </w:tr>
      <w:tr>
        <w:tc>
          <w:tcPr>
            <w:tcW w:type="dxa" w:w="1005"/>
            <w:gridSpan w:val="2"/>
            <w:tcBorders>
              <w:top w:color="000000" w:sz="4" w:val="single"/>
              <w:left w:color="000000" w:sz="4" w:val="single"/>
              <w:bottom w:color="000000" w:sz="4" w:val="single"/>
              <w:right w:color="000000" w:sz="4" w:val="single"/>
            </w:tcBorders>
          </w:tcPr>
          <w:p w14:paraId="65020000">
            <w:pPr>
              <w:widowControl w:val="1"/>
              <w:ind/>
              <w:jc w:val="center"/>
              <w:rPr>
                <w:sz w:val="24"/>
              </w:rPr>
            </w:pPr>
          </w:p>
        </w:tc>
        <w:tc>
          <w:tcPr>
            <w:tcW w:type="dxa" w:w="4241"/>
            <w:tcBorders>
              <w:top w:color="000000" w:sz="4" w:val="single"/>
              <w:left w:color="000000" w:sz="4" w:val="single"/>
              <w:bottom w:color="000000" w:sz="4" w:val="single"/>
              <w:right w:color="000000" w:sz="4" w:val="single"/>
            </w:tcBorders>
          </w:tcPr>
          <w:p w14:paraId="66020000">
            <w:pPr>
              <w:rPr>
                <w:b w:val="1"/>
                <w:sz w:val="23"/>
              </w:rPr>
            </w:pPr>
            <w:r>
              <w:rPr>
                <w:b w:val="1"/>
                <w:sz w:val="23"/>
              </w:rPr>
              <w:t>Бюджетный эффект мероприятий по повышению эффективности расходов (нарастающим итогом)</w:t>
            </w:r>
          </w:p>
        </w:tc>
        <w:tc>
          <w:tcPr>
            <w:tcW w:type="dxa" w:w="4111"/>
            <w:tcBorders>
              <w:top w:color="000000" w:sz="4" w:val="single"/>
              <w:left w:color="000000" w:sz="4" w:val="single"/>
              <w:bottom w:color="000000" w:sz="4" w:val="single"/>
              <w:right w:color="000000" w:sz="4" w:val="single"/>
            </w:tcBorders>
          </w:tcPr>
          <w:p w14:paraId="67020000">
            <w:pPr>
              <w:rPr>
                <w:b w:val="1"/>
                <w:sz w:val="24"/>
              </w:rPr>
            </w:pPr>
          </w:p>
        </w:tc>
        <w:tc>
          <w:tcPr>
            <w:tcW w:type="dxa" w:w="1701"/>
            <w:tcBorders>
              <w:top w:color="000000" w:sz="4" w:val="single"/>
              <w:left w:color="000000" w:sz="4" w:val="single"/>
              <w:bottom w:color="000000" w:sz="4" w:val="single"/>
              <w:right w:color="000000" w:sz="4" w:val="single"/>
            </w:tcBorders>
          </w:tcPr>
          <w:p w14:paraId="68020000">
            <w:pPr>
              <w:widowControl w:val="1"/>
              <w:ind/>
              <w:jc w:val="center"/>
              <w:rPr>
                <w:b w:val="1"/>
                <w:sz w:val="24"/>
              </w:rPr>
            </w:pPr>
          </w:p>
        </w:tc>
        <w:tc>
          <w:tcPr>
            <w:tcW w:type="dxa" w:w="1559"/>
            <w:tcBorders>
              <w:top w:color="000000" w:sz="4" w:val="single"/>
              <w:left w:color="000000" w:sz="4" w:val="single"/>
              <w:bottom w:color="000000" w:sz="4" w:val="single"/>
              <w:right w:color="000000" w:sz="4" w:val="single"/>
            </w:tcBorders>
          </w:tcPr>
          <w:p w14:paraId="69020000">
            <w:pPr>
              <w:widowControl w:val="1"/>
              <w:ind/>
              <w:jc w:val="center"/>
              <w:rPr>
                <w:b w:val="1"/>
                <w:sz w:val="24"/>
              </w:rPr>
            </w:pPr>
            <w:r>
              <w:rPr>
                <w:b w:val="1"/>
                <w:sz w:val="24"/>
              </w:rPr>
              <w:t>26050,0</w:t>
            </w:r>
          </w:p>
        </w:tc>
        <w:tc>
          <w:tcPr>
            <w:tcW w:type="dxa" w:w="1417"/>
            <w:tcBorders>
              <w:top w:color="000000" w:sz="4" w:val="single"/>
              <w:left w:color="000000" w:sz="4" w:val="single"/>
              <w:bottom w:color="000000" w:sz="4" w:val="single"/>
              <w:right w:color="000000" w:sz="4" w:val="single"/>
            </w:tcBorders>
          </w:tcPr>
          <w:p w14:paraId="6A020000">
            <w:pPr>
              <w:widowControl w:val="1"/>
              <w:ind/>
              <w:jc w:val="center"/>
              <w:rPr>
                <w:b w:val="1"/>
                <w:sz w:val="24"/>
              </w:rPr>
            </w:pPr>
            <w:r>
              <w:rPr>
                <w:b w:val="1"/>
                <w:sz w:val="24"/>
              </w:rPr>
              <w:t>3</w:t>
            </w:r>
            <w:r>
              <w:rPr>
                <w:b w:val="1"/>
                <w:sz w:val="24"/>
              </w:rPr>
              <w:t>50,0</w:t>
            </w:r>
          </w:p>
        </w:tc>
        <w:tc>
          <w:tcPr>
            <w:tcW w:type="dxa" w:w="1418"/>
            <w:tcBorders>
              <w:top w:color="000000" w:sz="4" w:val="single"/>
              <w:left w:color="000000" w:sz="4" w:val="single"/>
              <w:bottom w:color="000000" w:sz="4" w:val="single"/>
              <w:right w:color="000000" w:sz="4" w:val="single"/>
            </w:tcBorders>
          </w:tcPr>
          <w:p w14:paraId="6B020000">
            <w:pPr>
              <w:widowControl w:val="1"/>
              <w:ind/>
              <w:jc w:val="center"/>
              <w:rPr>
                <w:b w:val="1"/>
                <w:sz w:val="24"/>
              </w:rPr>
            </w:pPr>
            <w:r>
              <w:rPr>
                <w:b w:val="1"/>
                <w:sz w:val="24"/>
              </w:rPr>
              <w:t>400</w:t>
            </w:r>
            <w:r>
              <w:rPr>
                <w:b w:val="1"/>
                <w:sz w:val="24"/>
              </w:rPr>
              <w:t>,0</w:t>
            </w:r>
          </w:p>
        </w:tc>
      </w:tr>
      <w:tr>
        <w:trPr>
          <w:trHeight w:hRule="atLeast" w:val="315"/>
        </w:trPr>
        <w:tc>
          <w:tcPr>
            <w:tcW w:type="dxa" w:w="15452"/>
            <w:gridSpan w:val="8"/>
            <w:tcBorders>
              <w:top w:color="000000" w:sz="4" w:val="single"/>
              <w:left w:color="000000" w:sz="4" w:val="single"/>
              <w:bottom w:color="000000" w:sz="4" w:val="single"/>
              <w:right w:color="000000" w:sz="4" w:val="single"/>
            </w:tcBorders>
          </w:tcPr>
          <w:p w14:paraId="6C020000">
            <w:pPr>
              <w:widowControl w:val="1"/>
              <w:ind/>
              <w:jc w:val="center"/>
              <w:rPr>
                <w:sz w:val="24"/>
              </w:rPr>
            </w:pPr>
          </w:p>
        </w:tc>
      </w:tr>
      <w:tr>
        <w:tc>
          <w:tcPr>
            <w:tcW w:type="dxa" w:w="996"/>
            <w:tcBorders>
              <w:top w:color="000000" w:sz="4" w:val="single"/>
              <w:left w:color="000000" w:sz="4" w:val="single"/>
              <w:bottom w:color="000000" w:sz="4" w:val="single"/>
              <w:right w:color="000000" w:sz="4" w:val="single"/>
            </w:tcBorders>
          </w:tcPr>
          <w:p w14:paraId="6D020000">
            <w:pPr>
              <w:widowControl w:val="1"/>
              <w:ind/>
              <w:jc w:val="center"/>
              <w:rPr>
                <w:sz w:val="24"/>
              </w:rPr>
            </w:pPr>
            <w:r>
              <w:rPr>
                <w:sz w:val="24"/>
              </w:rPr>
              <w:t>16</w:t>
            </w:r>
          </w:p>
        </w:tc>
        <w:tc>
          <w:tcPr>
            <w:tcW w:type="dxa" w:w="4250"/>
            <w:gridSpan w:val="2"/>
            <w:tcBorders>
              <w:top w:color="000000" w:sz="4" w:val="single"/>
              <w:left w:color="000000" w:sz="4" w:val="single"/>
              <w:bottom w:color="000000" w:sz="4" w:val="single"/>
              <w:right w:color="000000" w:sz="4" w:val="single"/>
            </w:tcBorders>
          </w:tcPr>
          <w:p w14:paraId="6E020000">
            <w:pPr>
              <w:rPr>
                <w:sz w:val="24"/>
              </w:rPr>
            </w:pPr>
            <w:r>
              <w:rPr>
                <w:sz w:val="24"/>
              </w:rPr>
              <w:t>Отношение муниципального долга Крапивинского муниципального округа по отношению к общему годовому объему доходов бюджета без учета объема безвозмездных поступлений (с учетом установленных законодательством Российской Федерации исключений)</w:t>
            </w:r>
          </w:p>
        </w:tc>
        <w:tc>
          <w:tcPr>
            <w:tcW w:type="dxa" w:w="4111"/>
            <w:tcBorders>
              <w:top w:color="000000" w:sz="4" w:val="single"/>
              <w:left w:color="000000" w:sz="4" w:val="single"/>
              <w:bottom w:color="000000" w:sz="4" w:val="single"/>
              <w:right w:color="000000" w:sz="4" w:val="single"/>
            </w:tcBorders>
          </w:tcPr>
          <w:p w14:paraId="6F020000">
            <w:pPr>
              <w:rPr>
                <w:sz w:val="24"/>
              </w:rPr>
            </w:pPr>
            <w:r>
              <w:rPr>
                <w:sz w:val="24"/>
              </w:rPr>
              <w:t>Финансовое управление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70020000">
            <w:pPr>
              <w:widowControl w:val="1"/>
              <w:ind/>
              <w:jc w:val="center"/>
              <w:rPr>
                <w:sz w:val="24"/>
              </w:rPr>
            </w:pPr>
            <w:r>
              <w:rPr>
                <w:sz w:val="24"/>
              </w:rPr>
              <w:t>202</w:t>
            </w:r>
            <w:r>
              <w:rPr>
                <w:sz w:val="24"/>
              </w:rPr>
              <w:t>5</w:t>
            </w:r>
            <w:r>
              <w:rPr>
                <w:sz w:val="24"/>
              </w:rPr>
              <w:t>–</w:t>
            </w:r>
          </w:p>
          <w:p w14:paraId="7102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72020000">
            <w:pPr>
              <w:widowControl w:val="1"/>
              <w:ind/>
              <w:jc w:val="center"/>
              <w:rPr>
                <w:sz w:val="24"/>
              </w:rPr>
            </w:pPr>
            <w:r>
              <w:rPr>
                <w:sz w:val="24"/>
              </w:rPr>
              <w:t xml:space="preserve">Не более </w:t>
            </w:r>
            <w:r>
              <w:rPr>
                <w:sz w:val="24"/>
              </w:rPr>
              <w:t>50</w:t>
            </w:r>
            <w:r>
              <w:rPr>
                <w:sz w:val="24"/>
              </w:rPr>
              <w:t>%</w:t>
            </w:r>
          </w:p>
        </w:tc>
        <w:tc>
          <w:tcPr>
            <w:tcW w:type="dxa" w:w="1417"/>
            <w:tcBorders>
              <w:top w:color="000000" w:sz="4" w:val="single"/>
              <w:left w:color="000000" w:sz="4" w:val="single"/>
              <w:bottom w:color="000000" w:sz="4" w:val="single"/>
              <w:right w:color="000000" w:sz="4" w:val="single"/>
            </w:tcBorders>
          </w:tcPr>
          <w:p w14:paraId="73020000">
            <w:pPr>
              <w:widowControl w:val="1"/>
              <w:ind/>
              <w:jc w:val="center"/>
              <w:rPr>
                <w:sz w:val="24"/>
              </w:rPr>
            </w:pPr>
            <w:r>
              <w:rPr>
                <w:sz w:val="24"/>
              </w:rPr>
              <w:t xml:space="preserve">Не более </w:t>
            </w:r>
            <w:r>
              <w:rPr>
                <w:sz w:val="24"/>
              </w:rPr>
              <w:t>50</w:t>
            </w:r>
            <w:r>
              <w:rPr>
                <w:sz w:val="24"/>
              </w:rPr>
              <w:t>%</w:t>
            </w:r>
          </w:p>
        </w:tc>
        <w:tc>
          <w:tcPr>
            <w:tcW w:type="dxa" w:w="1418"/>
            <w:tcBorders>
              <w:top w:color="000000" w:sz="4" w:val="single"/>
              <w:left w:color="000000" w:sz="4" w:val="single"/>
              <w:bottom w:color="000000" w:sz="4" w:val="single"/>
              <w:right w:color="000000" w:sz="4" w:val="single"/>
            </w:tcBorders>
          </w:tcPr>
          <w:p w14:paraId="74020000">
            <w:pPr>
              <w:widowControl w:val="1"/>
              <w:ind/>
              <w:jc w:val="center"/>
              <w:rPr>
                <w:sz w:val="24"/>
              </w:rPr>
            </w:pPr>
            <w:r>
              <w:rPr>
                <w:sz w:val="24"/>
              </w:rPr>
              <w:t>Не более 5</w:t>
            </w:r>
            <w:r>
              <w:rPr>
                <w:sz w:val="24"/>
              </w:rPr>
              <w:t>0</w:t>
            </w:r>
            <w:r>
              <w:rPr>
                <w:sz w:val="24"/>
              </w:rPr>
              <w:t>%</w:t>
            </w:r>
          </w:p>
        </w:tc>
      </w:tr>
      <w:tr>
        <w:tc>
          <w:tcPr>
            <w:tcW w:type="dxa" w:w="996"/>
            <w:tcBorders>
              <w:top w:color="000000" w:sz="4" w:val="single"/>
              <w:left w:color="000000" w:sz="4" w:val="single"/>
              <w:bottom w:color="000000" w:sz="4" w:val="single"/>
              <w:right w:color="000000" w:sz="4" w:val="single"/>
            </w:tcBorders>
          </w:tcPr>
          <w:p w14:paraId="75020000">
            <w:pPr>
              <w:widowControl w:val="1"/>
              <w:ind/>
              <w:jc w:val="center"/>
              <w:rPr>
                <w:sz w:val="24"/>
              </w:rPr>
            </w:pPr>
            <w:r>
              <w:rPr>
                <w:sz w:val="24"/>
              </w:rPr>
              <w:t>17</w:t>
            </w:r>
          </w:p>
        </w:tc>
        <w:tc>
          <w:tcPr>
            <w:tcW w:type="dxa" w:w="4250"/>
            <w:gridSpan w:val="2"/>
            <w:tcBorders>
              <w:top w:color="000000" w:sz="4" w:val="single"/>
              <w:left w:color="000000" w:sz="4" w:val="single"/>
              <w:bottom w:color="000000" w:sz="4" w:val="single"/>
              <w:right w:color="000000" w:sz="4" w:val="single"/>
            </w:tcBorders>
          </w:tcPr>
          <w:p w14:paraId="76020000">
            <w:pPr>
              <w:rPr>
                <w:sz w:val="24"/>
              </w:rPr>
            </w:pPr>
            <w:r>
              <w:rPr>
                <w:sz w:val="24"/>
              </w:rPr>
              <w:t>Оптимизация структуры муниципального долга с целью минимизации стоимости его обслуживания по отношению к общему объему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type="dxa" w:w="4111"/>
            <w:tcBorders>
              <w:top w:color="000000" w:sz="4" w:val="single"/>
              <w:left w:color="000000" w:sz="4" w:val="single"/>
              <w:bottom w:color="000000" w:sz="4" w:val="single"/>
              <w:right w:color="000000" w:sz="4" w:val="single"/>
            </w:tcBorders>
          </w:tcPr>
          <w:p w14:paraId="77020000">
            <w:pPr>
              <w:rPr>
                <w:sz w:val="24"/>
              </w:rPr>
            </w:pPr>
            <w:r>
              <w:rPr>
                <w:sz w:val="24"/>
              </w:rPr>
              <w:t>Финансовое управление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78020000">
            <w:pPr>
              <w:widowControl w:val="1"/>
              <w:ind/>
              <w:jc w:val="center"/>
              <w:rPr>
                <w:sz w:val="24"/>
              </w:rPr>
            </w:pPr>
            <w:r>
              <w:rPr>
                <w:sz w:val="24"/>
              </w:rPr>
              <w:t>202</w:t>
            </w:r>
            <w:r>
              <w:rPr>
                <w:sz w:val="24"/>
              </w:rPr>
              <w:t>5</w:t>
            </w:r>
            <w:r>
              <w:rPr>
                <w:sz w:val="24"/>
              </w:rPr>
              <w:t>–</w:t>
            </w:r>
          </w:p>
          <w:p w14:paraId="7902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7A020000">
            <w:pPr>
              <w:widowControl w:val="1"/>
              <w:ind/>
              <w:jc w:val="center"/>
              <w:rPr>
                <w:sz w:val="24"/>
              </w:rPr>
            </w:pPr>
            <w:r>
              <w:rPr>
                <w:sz w:val="24"/>
              </w:rPr>
              <w:t xml:space="preserve">Не более </w:t>
            </w:r>
          </w:p>
          <w:p w14:paraId="7B020000">
            <w:pPr>
              <w:widowControl w:val="1"/>
              <w:ind/>
              <w:jc w:val="center"/>
              <w:rPr>
                <w:sz w:val="24"/>
              </w:rPr>
            </w:pPr>
            <w:r>
              <w:rPr>
                <w:sz w:val="24"/>
              </w:rPr>
              <w:t>5,0%</w:t>
            </w:r>
          </w:p>
        </w:tc>
        <w:tc>
          <w:tcPr>
            <w:tcW w:type="dxa" w:w="1417"/>
            <w:tcBorders>
              <w:top w:color="000000" w:sz="4" w:val="single"/>
              <w:left w:color="000000" w:sz="4" w:val="single"/>
              <w:bottom w:color="000000" w:sz="4" w:val="single"/>
              <w:right w:color="000000" w:sz="4" w:val="single"/>
            </w:tcBorders>
          </w:tcPr>
          <w:p w14:paraId="7C020000">
            <w:pPr>
              <w:widowControl w:val="1"/>
              <w:ind/>
              <w:jc w:val="center"/>
              <w:rPr>
                <w:sz w:val="24"/>
              </w:rPr>
            </w:pPr>
            <w:r>
              <w:rPr>
                <w:sz w:val="24"/>
              </w:rPr>
              <w:t xml:space="preserve">Не более </w:t>
            </w:r>
          </w:p>
          <w:p w14:paraId="7D020000">
            <w:pPr>
              <w:widowControl w:val="1"/>
              <w:ind/>
              <w:jc w:val="center"/>
              <w:rPr>
                <w:sz w:val="24"/>
              </w:rPr>
            </w:pPr>
            <w:r>
              <w:rPr>
                <w:sz w:val="24"/>
              </w:rPr>
              <w:t>5,0%</w:t>
            </w:r>
          </w:p>
        </w:tc>
        <w:tc>
          <w:tcPr>
            <w:tcW w:type="dxa" w:w="1418"/>
            <w:tcBorders>
              <w:top w:color="000000" w:sz="4" w:val="single"/>
              <w:left w:color="000000" w:sz="4" w:val="single"/>
              <w:bottom w:color="000000" w:sz="4" w:val="single"/>
              <w:right w:color="000000" w:sz="4" w:val="single"/>
            </w:tcBorders>
          </w:tcPr>
          <w:p w14:paraId="7E020000">
            <w:pPr>
              <w:rPr>
                <w:sz w:val="24"/>
              </w:rPr>
            </w:pPr>
            <w:r>
              <w:rPr>
                <w:sz w:val="24"/>
              </w:rPr>
              <w:t xml:space="preserve">Не более </w:t>
            </w:r>
          </w:p>
          <w:p w14:paraId="7F020000">
            <w:pPr>
              <w:widowControl w:val="1"/>
              <w:ind/>
              <w:jc w:val="center"/>
              <w:rPr>
                <w:sz w:val="24"/>
              </w:rPr>
            </w:pPr>
            <w:r>
              <w:rPr>
                <w:sz w:val="24"/>
              </w:rPr>
              <w:t>5,0%</w:t>
            </w:r>
          </w:p>
        </w:tc>
      </w:tr>
      <w:tr>
        <w:tc>
          <w:tcPr>
            <w:tcW w:type="dxa" w:w="996"/>
            <w:tcBorders>
              <w:top w:color="000000" w:sz="4" w:val="single"/>
              <w:left w:color="000000" w:sz="4" w:val="single"/>
              <w:bottom w:color="000000" w:sz="4" w:val="single"/>
              <w:right w:color="000000" w:sz="4" w:val="single"/>
            </w:tcBorders>
          </w:tcPr>
          <w:p w14:paraId="80020000">
            <w:pPr>
              <w:widowControl w:val="1"/>
              <w:ind/>
              <w:jc w:val="center"/>
              <w:rPr>
                <w:sz w:val="24"/>
              </w:rPr>
            </w:pPr>
            <w:r>
              <w:rPr>
                <w:sz w:val="24"/>
              </w:rPr>
              <w:t>18</w:t>
            </w:r>
          </w:p>
        </w:tc>
        <w:tc>
          <w:tcPr>
            <w:tcW w:type="dxa" w:w="4250"/>
            <w:gridSpan w:val="2"/>
            <w:tcBorders>
              <w:top w:color="000000" w:sz="4" w:val="single"/>
              <w:left w:color="000000" w:sz="4" w:val="single"/>
              <w:bottom w:color="000000" w:sz="4" w:val="single"/>
              <w:right w:color="000000" w:sz="4" w:val="single"/>
            </w:tcBorders>
          </w:tcPr>
          <w:p w14:paraId="81020000">
            <w:pPr>
              <w:rPr>
                <w:sz w:val="24"/>
              </w:rPr>
            </w:pPr>
            <w:r>
              <w:rPr>
                <w:sz w:val="24"/>
              </w:rPr>
              <w:t xml:space="preserve">Взаимодействие с Управлением Федерального казначейства по Кемеровской области – Кузбассу по привлечению краткосрочных бюджетных кредитов на пополнение остатков средств </w:t>
            </w:r>
          </w:p>
        </w:tc>
        <w:tc>
          <w:tcPr>
            <w:tcW w:type="dxa" w:w="4111"/>
            <w:tcBorders>
              <w:top w:color="000000" w:sz="4" w:val="single"/>
              <w:left w:color="000000" w:sz="4" w:val="single"/>
              <w:bottom w:color="000000" w:sz="4" w:val="single"/>
              <w:right w:color="000000" w:sz="4" w:val="single"/>
            </w:tcBorders>
          </w:tcPr>
          <w:p w14:paraId="82020000">
            <w:pPr>
              <w:rPr>
                <w:sz w:val="24"/>
              </w:rPr>
            </w:pPr>
            <w:r>
              <w:rPr>
                <w:sz w:val="24"/>
              </w:rPr>
              <w:t xml:space="preserve">Финансовое управление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83020000">
            <w:pPr>
              <w:widowControl w:val="1"/>
              <w:ind/>
              <w:jc w:val="center"/>
              <w:rPr>
                <w:sz w:val="24"/>
              </w:rPr>
            </w:pPr>
            <w:r>
              <w:rPr>
                <w:sz w:val="24"/>
              </w:rPr>
              <w:t>202</w:t>
            </w:r>
            <w:r>
              <w:rPr>
                <w:sz w:val="24"/>
              </w:rPr>
              <w:t>5</w:t>
            </w:r>
            <w:r>
              <w:rPr>
                <w:sz w:val="24"/>
              </w:rPr>
              <w:t>–</w:t>
            </w:r>
          </w:p>
          <w:p w14:paraId="8402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8502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8602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87020000">
            <w:pPr>
              <w:widowControl w:val="1"/>
              <w:ind/>
              <w:jc w:val="center"/>
              <w:rPr>
                <w:sz w:val="24"/>
              </w:rPr>
            </w:pPr>
            <w:r>
              <w:rPr>
                <w:sz w:val="24"/>
              </w:rPr>
              <w:t>да</w:t>
            </w:r>
          </w:p>
        </w:tc>
      </w:tr>
      <w:tr>
        <w:trPr>
          <w:trHeight w:hRule="atLeast" w:val="653"/>
        </w:trPr>
        <w:tc>
          <w:tcPr>
            <w:tcW w:type="dxa" w:w="996"/>
            <w:tcBorders>
              <w:top w:color="000000" w:sz="4" w:val="single"/>
              <w:left w:color="000000" w:sz="4" w:val="single"/>
              <w:bottom w:color="000000" w:sz="4" w:val="single"/>
              <w:right w:color="000000" w:sz="4" w:val="single"/>
            </w:tcBorders>
          </w:tcPr>
          <w:p w14:paraId="88020000">
            <w:pPr>
              <w:widowControl w:val="1"/>
              <w:ind/>
              <w:jc w:val="center"/>
              <w:rPr>
                <w:sz w:val="24"/>
              </w:rPr>
            </w:pPr>
            <w:r>
              <w:rPr>
                <w:sz w:val="24"/>
              </w:rPr>
              <w:t>19</w:t>
            </w:r>
          </w:p>
        </w:tc>
        <w:tc>
          <w:tcPr>
            <w:tcW w:type="dxa" w:w="4250"/>
            <w:gridSpan w:val="2"/>
            <w:tcBorders>
              <w:top w:color="000000" w:sz="4" w:val="single"/>
              <w:left w:color="000000" w:sz="4" w:val="single"/>
              <w:bottom w:color="000000" w:sz="4" w:val="single"/>
              <w:right w:color="000000" w:sz="4" w:val="single"/>
            </w:tcBorders>
          </w:tcPr>
          <w:p w14:paraId="89020000">
            <w:pPr>
              <w:rPr>
                <w:sz w:val="24"/>
              </w:rPr>
            </w:pPr>
            <w:r>
              <w:rPr>
                <w:sz w:val="24"/>
              </w:rPr>
              <w:t>Мониторинг уровня муниципального долга</w:t>
            </w:r>
          </w:p>
        </w:tc>
        <w:tc>
          <w:tcPr>
            <w:tcW w:type="dxa" w:w="4111"/>
            <w:tcBorders>
              <w:top w:color="000000" w:sz="4" w:val="single"/>
              <w:left w:color="000000" w:sz="4" w:val="single"/>
              <w:bottom w:color="000000" w:sz="4" w:val="single"/>
              <w:right w:color="000000" w:sz="4" w:val="single"/>
            </w:tcBorders>
          </w:tcPr>
          <w:p w14:paraId="8A020000">
            <w:pPr>
              <w:rPr>
                <w:sz w:val="24"/>
              </w:rPr>
            </w:pPr>
            <w:r>
              <w:rPr>
                <w:sz w:val="24"/>
              </w:rPr>
              <w:t xml:space="preserve">Финансовое управление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8B020000">
            <w:pPr>
              <w:widowControl w:val="1"/>
              <w:ind/>
              <w:jc w:val="center"/>
              <w:rPr>
                <w:sz w:val="24"/>
              </w:rPr>
            </w:pPr>
            <w:r>
              <w:rPr>
                <w:sz w:val="24"/>
              </w:rPr>
              <w:t>202</w:t>
            </w:r>
            <w:r>
              <w:rPr>
                <w:sz w:val="24"/>
              </w:rPr>
              <w:t>5</w:t>
            </w:r>
            <w:r>
              <w:rPr>
                <w:sz w:val="24"/>
              </w:rPr>
              <w:t>–</w:t>
            </w:r>
          </w:p>
          <w:p w14:paraId="8C020000">
            <w:pPr>
              <w:widowControl w:val="1"/>
              <w:ind/>
              <w:jc w:val="center"/>
              <w:rPr>
                <w:sz w:val="24"/>
              </w:rPr>
            </w:pPr>
            <w:r>
              <w:rPr>
                <w:sz w:val="24"/>
              </w:rPr>
              <w:t>202</w:t>
            </w:r>
            <w:r>
              <w:rPr>
                <w:sz w:val="24"/>
              </w:rPr>
              <w:t>7</w:t>
            </w:r>
            <w:r>
              <w:rPr>
                <w:sz w:val="24"/>
              </w:rPr>
              <w:t xml:space="preserve"> годы </w:t>
            </w:r>
          </w:p>
        </w:tc>
        <w:tc>
          <w:tcPr>
            <w:tcW w:type="dxa" w:w="1559"/>
            <w:tcBorders>
              <w:top w:color="000000" w:sz="4" w:val="single"/>
              <w:left w:color="000000" w:sz="4" w:val="single"/>
              <w:bottom w:color="000000" w:sz="4" w:val="single"/>
              <w:right w:color="000000" w:sz="4" w:val="single"/>
            </w:tcBorders>
          </w:tcPr>
          <w:p w14:paraId="8D020000">
            <w:pPr>
              <w:widowControl w:val="1"/>
              <w:ind/>
              <w:jc w:val="center"/>
              <w:rPr>
                <w:sz w:val="24"/>
              </w:rPr>
            </w:pPr>
            <w:r>
              <w:rPr>
                <w:sz w:val="24"/>
              </w:rPr>
              <w:t>да</w:t>
            </w:r>
          </w:p>
        </w:tc>
        <w:tc>
          <w:tcPr>
            <w:tcW w:type="dxa" w:w="1417"/>
            <w:tcBorders>
              <w:top w:color="000000" w:sz="4" w:val="single"/>
              <w:left w:color="000000" w:sz="4" w:val="single"/>
              <w:bottom w:color="000000" w:sz="4" w:val="single"/>
              <w:right w:color="000000" w:sz="4" w:val="single"/>
            </w:tcBorders>
          </w:tcPr>
          <w:p w14:paraId="8E020000">
            <w:pPr>
              <w:widowControl w:val="1"/>
              <w:ind/>
              <w:jc w:val="center"/>
              <w:rPr>
                <w:sz w:val="24"/>
              </w:rPr>
            </w:pPr>
            <w:r>
              <w:rPr>
                <w:sz w:val="24"/>
              </w:rPr>
              <w:t>да</w:t>
            </w:r>
          </w:p>
        </w:tc>
        <w:tc>
          <w:tcPr>
            <w:tcW w:type="dxa" w:w="1418"/>
            <w:tcBorders>
              <w:top w:color="000000" w:sz="4" w:val="single"/>
              <w:left w:color="000000" w:sz="4" w:val="single"/>
              <w:bottom w:color="000000" w:sz="4" w:val="single"/>
              <w:right w:color="000000" w:sz="4" w:val="single"/>
            </w:tcBorders>
          </w:tcPr>
          <w:p w14:paraId="8F020000">
            <w:pPr>
              <w:widowControl w:val="1"/>
              <w:ind/>
              <w:jc w:val="center"/>
              <w:rPr>
                <w:sz w:val="24"/>
              </w:rPr>
            </w:pPr>
            <w:r>
              <w:rPr>
                <w:sz w:val="24"/>
              </w:rPr>
              <w:t>да</w:t>
            </w:r>
          </w:p>
        </w:tc>
      </w:tr>
      <w:tr>
        <w:tc>
          <w:tcPr>
            <w:tcW w:type="dxa" w:w="996"/>
            <w:tcBorders>
              <w:top w:color="000000" w:sz="4" w:val="single"/>
              <w:left w:color="000000" w:sz="4" w:val="single"/>
              <w:bottom w:color="000000" w:sz="4" w:val="single"/>
              <w:right w:color="000000" w:sz="4" w:val="single"/>
            </w:tcBorders>
          </w:tcPr>
          <w:p w14:paraId="90020000">
            <w:pPr>
              <w:widowControl w:val="1"/>
              <w:ind/>
              <w:jc w:val="center"/>
              <w:rPr>
                <w:sz w:val="24"/>
              </w:rPr>
            </w:pPr>
          </w:p>
        </w:tc>
        <w:tc>
          <w:tcPr>
            <w:tcW w:type="dxa" w:w="4250"/>
            <w:gridSpan w:val="2"/>
            <w:tcBorders>
              <w:top w:color="000000" w:sz="4" w:val="single"/>
              <w:left w:color="000000" w:sz="4" w:val="single"/>
              <w:bottom w:color="000000" w:sz="4" w:val="single"/>
              <w:right w:color="000000" w:sz="4" w:val="single"/>
            </w:tcBorders>
          </w:tcPr>
          <w:p w14:paraId="91020000">
            <w:pPr>
              <w:rPr>
                <w:b w:val="1"/>
                <w:sz w:val="23"/>
              </w:rPr>
            </w:pPr>
            <w:r>
              <w:rPr>
                <w:b w:val="1"/>
                <w:sz w:val="23"/>
              </w:rPr>
              <w:t>Бюджетный эффект мероприятий по совершенствованию долговой политики</w:t>
            </w:r>
          </w:p>
        </w:tc>
        <w:tc>
          <w:tcPr>
            <w:tcW w:type="dxa" w:w="4111"/>
            <w:tcBorders>
              <w:top w:color="000000" w:sz="4" w:val="single"/>
              <w:left w:color="000000" w:sz="4" w:val="single"/>
              <w:bottom w:color="000000" w:sz="4" w:val="single"/>
              <w:right w:color="000000" w:sz="4" w:val="single"/>
            </w:tcBorders>
          </w:tcPr>
          <w:p w14:paraId="92020000">
            <w:pPr>
              <w:rPr>
                <w:b w:val="1"/>
                <w:sz w:val="24"/>
              </w:rPr>
            </w:pPr>
          </w:p>
        </w:tc>
        <w:tc>
          <w:tcPr>
            <w:tcW w:type="dxa" w:w="1701"/>
            <w:tcBorders>
              <w:top w:color="000000" w:sz="4" w:val="single"/>
              <w:left w:color="000000" w:sz="4" w:val="single"/>
              <w:bottom w:color="000000" w:sz="4" w:val="single"/>
              <w:right w:color="000000" w:sz="4" w:val="single"/>
            </w:tcBorders>
          </w:tcPr>
          <w:p w14:paraId="93020000">
            <w:pPr>
              <w:widowControl w:val="1"/>
              <w:ind/>
              <w:jc w:val="center"/>
              <w:rPr>
                <w:b w:val="1"/>
                <w:sz w:val="24"/>
              </w:rPr>
            </w:pPr>
          </w:p>
        </w:tc>
        <w:tc>
          <w:tcPr>
            <w:tcW w:type="dxa" w:w="1559"/>
            <w:tcBorders>
              <w:top w:color="000000" w:sz="4" w:val="single"/>
              <w:left w:color="000000" w:sz="4" w:val="single"/>
              <w:bottom w:color="000000" w:sz="4" w:val="single"/>
              <w:right w:color="000000" w:sz="4" w:val="single"/>
            </w:tcBorders>
            <w:vAlign w:val="center"/>
          </w:tcPr>
          <w:p w14:paraId="94020000">
            <w:pPr>
              <w:widowControl w:val="1"/>
              <w:ind/>
              <w:jc w:val="center"/>
              <w:rPr>
                <w:b w:val="1"/>
                <w:sz w:val="24"/>
              </w:rPr>
            </w:pPr>
            <w:r>
              <w:rPr>
                <w:b w:val="1"/>
                <w:sz w:val="24"/>
              </w:rPr>
              <w:t>х</w:t>
            </w:r>
          </w:p>
        </w:tc>
        <w:tc>
          <w:tcPr>
            <w:tcW w:type="dxa" w:w="1417"/>
            <w:tcBorders>
              <w:top w:color="000000" w:sz="4" w:val="single"/>
              <w:left w:color="000000" w:sz="4" w:val="single"/>
              <w:bottom w:color="000000" w:sz="4" w:val="single"/>
              <w:right w:color="000000" w:sz="4" w:val="single"/>
            </w:tcBorders>
            <w:vAlign w:val="center"/>
          </w:tcPr>
          <w:p w14:paraId="95020000">
            <w:pPr>
              <w:widowControl w:val="1"/>
              <w:ind/>
              <w:jc w:val="center"/>
              <w:rPr>
                <w:b w:val="1"/>
                <w:sz w:val="24"/>
              </w:rPr>
            </w:pPr>
            <w:r>
              <w:rPr>
                <w:b w:val="1"/>
                <w:sz w:val="24"/>
              </w:rPr>
              <w:t>х</w:t>
            </w:r>
          </w:p>
        </w:tc>
        <w:tc>
          <w:tcPr>
            <w:tcW w:type="dxa" w:w="1418"/>
            <w:tcBorders>
              <w:top w:color="000000" w:sz="4" w:val="single"/>
              <w:left w:color="000000" w:sz="4" w:val="single"/>
              <w:bottom w:color="000000" w:sz="4" w:val="single"/>
              <w:right w:color="000000" w:sz="4" w:val="single"/>
            </w:tcBorders>
            <w:vAlign w:val="center"/>
          </w:tcPr>
          <w:p w14:paraId="96020000">
            <w:pPr>
              <w:widowControl w:val="1"/>
              <w:ind/>
              <w:jc w:val="center"/>
              <w:rPr>
                <w:b w:val="1"/>
                <w:sz w:val="24"/>
              </w:rPr>
            </w:pPr>
            <w:r>
              <w:rPr>
                <w:b w:val="1"/>
                <w:sz w:val="24"/>
              </w:rPr>
              <w:t>х</w:t>
            </w:r>
          </w:p>
        </w:tc>
      </w:tr>
      <w:tr>
        <w:tc>
          <w:tcPr>
            <w:tcW w:type="dxa" w:w="996"/>
            <w:tcBorders>
              <w:top w:color="000000" w:sz="4" w:val="single"/>
              <w:left w:color="000000" w:sz="4" w:val="single"/>
              <w:bottom w:color="000000" w:sz="4" w:val="single"/>
              <w:right w:color="000000" w:sz="4" w:val="single"/>
            </w:tcBorders>
          </w:tcPr>
          <w:p w14:paraId="97020000">
            <w:pPr>
              <w:widowControl w:val="1"/>
              <w:ind/>
              <w:jc w:val="center"/>
              <w:rPr>
                <w:sz w:val="24"/>
              </w:rPr>
            </w:pPr>
          </w:p>
        </w:tc>
        <w:tc>
          <w:tcPr>
            <w:tcW w:type="dxa" w:w="4250"/>
            <w:gridSpan w:val="2"/>
            <w:tcBorders>
              <w:top w:color="000000" w:sz="4" w:val="single"/>
              <w:left w:color="000000" w:sz="4" w:val="single"/>
              <w:bottom w:color="000000" w:sz="4" w:val="single"/>
              <w:right w:color="000000" w:sz="4" w:val="single"/>
            </w:tcBorders>
          </w:tcPr>
          <w:p w14:paraId="98020000">
            <w:pPr>
              <w:rPr>
                <w:b w:val="1"/>
                <w:sz w:val="24"/>
              </w:rPr>
            </w:pPr>
            <w:r>
              <w:rPr>
                <w:b w:val="1"/>
                <w:sz w:val="24"/>
              </w:rPr>
              <w:t>Общий бюджетный эффект</w:t>
            </w:r>
          </w:p>
          <w:p w14:paraId="99020000">
            <w:pPr>
              <w:rPr>
                <w:b w:val="1"/>
                <w:sz w:val="24"/>
              </w:rPr>
            </w:pPr>
            <w:r>
              <w:rPr>
                <w:b w:val="1"/>
                <w:sz w:val="24"/>
              </w:rPr>
              <w:t>(нарастающим итогом)</w:t>
            </w:r>
          </w:p>
        </w:tc>
        <w:tc>
          <w:tcPr>
            <w:tcW w:type="dxa" w:w="4111"/>
            <w:tcBorders>
              <w:top w:color="000000" w:sz="4" w:val="single"/>
              <w:left w:color="000000" w:sz="4" w:val="single"/>
              <w:bottom w:color="000000" w:sz="4" w:val="single"/>
              <w:right w:color="000000" w:sz="4" w:val="single"/>
            </w:tcBorders>
          </w:tcPr>
          <w:p w14:paraId="9A020000">
            <w:pPr>
              <w:rPr>
                <w:b w:val="1"/>
                <w:sz w:val="24"/>
              </w:rPr>
            </w:pPr>
          </w:p>
        </w:tc>
        <w:tc>
          <w:tcPr>
            <w:tcW w:type="dxa" w:w="1701"/>
            <w:tcBorders>
              <w:top w:color="000000" w:sz="4" w:val="single"/>
              <w:left w:color="000000" w:sz="4" w:val="single"/>
              <w:bottom w:color="000000" w:sz="4" w:val="single"/>
              <w:right w:color="000000" w:sz="4" w:val="single"/>
            </w:tcBorders>
          </w:tcPr>
          <w:p w14:paraId="9B020000">
            <w:pPr>
              <w:widowControl w:val="1"/>
              <w:ind/>
              <w:jc w:val="center"/>
              <w:rPr>
                <w:b w:val="1"/>
                <w:sz w:val="24"/>
              </w:rPr>
            </w:pPr>
          </w:p>
        </w:tc>
        <w:tc>
          <w:tcPr>
            <w:tcW w:type="dxa" w:w="1559"/>
            <w:tcBorders>
              <w:top w:color="000000" w:sz="4" w:val="single"/>
              <w:left w:color="000000" w:sz="4" w:val="single"/>
              <w:bottom w:color="000000" w:sz="4" w:val="single"/>
              <w:right w:color="000000" w:sz="4" w:val="single"/>
            </w:tcBorders>
          </w:tcPr>
          <w:p w14:paraId="9C020000">
            <w:pPr>
              <w:widowControl w:val="1"/>
              <w:ind/>
              <w:jc w:val="center"/>
              <w:rPr>
                <w:b w:val="1"/>
                <w:sz w:val="24"/>
              </w:rPr>
            </w:pPr>
            <w:r>
              <w:rPr>
                <w:b w:val="1"/>
                <w:sz w:val="24"/>
              </w:rPr>
              <w:t>32</w:t>
            </w:r>
            <w:r>
              <w:rPr>
                <w:b w:val="1"/>
                <w:sz w:val="24"/>
              </w:rPr>
              <w:t> 3</w:t>
            </w:r>
            <w:r>
              <w:rPr>
                <w:b w:val="1"/>
                <w:sz w:val="24"/>
              </w:rPr>
              <w:t>8</w:t>
            </w:r>
            <w:r>
              <w:rPr>
                <w:b w:val="1"/>
                <w:sz w:val="24"/>
              </w:rPr>
              <w:t>5,0</w:t>
            </w:r>
          </w:p>
        </w:tc>
        <w:tc>
          <w:tcPr>
            <w:tcW w:type="dxa" w:w="1417"/>
            <w:tcBorders>
              <w:top w:color="000000" w:sz="4" w:val="single"/>
              <w:left w:color="000000" w:sz="4" w:val="single"/>
              <w:bottom w:color="000000" w:sz="4" w:val="single"/>
              <w:right w:color="000000" w:sz="4" w:val="single"/>
            </w:tcBorders>
          </w:tcPr>
          <w:p w14:paraId="9D020000">
            <w:pPr>
              <w:widowControl w:val="1"/>
              <w:ind/>
              <w:jc w:val="center"/>
              <w:rPr>
                <w:b w:val="1"/>
                <w:sz w:val="24"/>
              </w:rPr>
            </w:pPr>
            <w:r>
              <w:rPr>
                <w:b w:val="1"/>
                <w:sz w:val="24"/>
              </w:rPr>
              <w:t>6 </w:t>
            </w:r>
            <w:r>
              <w:rPr>
                <w:b w:val="1"/>
                <w:sz w:val="24"/>
              </w:rPr>
              <w:t>68</w:t>
            </w:r>
            <w:r>
              <w:rPr>
                <w:b w:val="1"/>
                <w:sz w:val="24"/>
              </w:rPr>
              <w:t>5,0</w:t>
            </w:r>
          </w:p>
        </w:tc>
        <w:tc>
          <w:tcPr>
            <w:tcW w:type="dxa" w:w="1418"/>
            <w:tcBorders>
              <w:top w:color="000000" w:sz="4" w:val="single"/>
              <w:left w:color="000000" w:sz="4" w:val="single"/>
              <w:bottom w:color="000000" w:sz="4" w:val="single"/>
              <w:right w:color="000000" w:sz="4" w:val="single"/>
            </w:tcBorders>
          </w:tcPr>
          <w:p w14:paraId="9E020000">
            <w:pPr>
              <w:widowControl w:val="1"/>
              <w:ind/>
              <w:jc w:val="center"/>
              <w:rPr>
                <w:b w:val="1"/>
                <w:sz w:val="24"/>
              </w:rPr>
            </w:pPr>
            <w:r>
              <w:rPr>
                <w:b w:val="1"/>
                <w:sz w:val="24"/>
              </w:rPr>
              <w:t>6 </w:t>
            </w:r>
            <w:r>
              <w:rPr>
                <w:b w:val="1"/>
                <w:sz w:val="24"/>
              </w:rPr>
              <w:t>7</w:t>
            </w:r>
            <w:r>
              <w:rPr>
                <w:b w:val="1"/>
                <w:sz w:val="24"/>
              </w:rPr>
              <w:t>35,0</w:t>
            </w:r>
          </w:p>
        </w:tc>
      </w:tr>
    </w:tbl>
    <w:p w14:paraId="9F020000">
      <w:pPr>
        <w:widowControl w:val="1"/>
        <w:tabs>
          <w:tab w:leader="none" w:pos="11766" w:val="left"/>
          <w:tab w:leader="none" w:pos="12049" w:val="left"/>
        </w:tabs>
        <w:ind w:left="9639"/>
        <w:jc w:val="center"/>
        <w:rPr>
          <w:sz w:val="28"/>
        </w:rPr>
      </w:pPr>
    </w:p>
    <w:sectPr>
      <w:headerReference r:id="rId1" w:type="default"/>
      <w:headerReference r:id="rId3" w:type="even"/>
      <w:pgSz w:h="11901" w:orient="landscape" w:w="16834"/>
      <w:pgMar w:bottom="709" w:footer="720" w:gutter="0" w:header="1134" w:left="1134" w:right="1134"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1" name="Picture 1"/>
              <a:graphic>
                <a:graphicData uri="http://schemas.microsoft.com/office/word/2010/wordprocessingShape">
                  <wps:wsp>
                    <wps:cNvSpPr txBox="true"/>
                    <wps:spPr>
                      <a:xfrm flipH="false" flipV="false" rot="0">
                        <a:off x="0" y="0"/>
                        <a:ext cx="152400" cy="0"/>
                      </a:xfrm>
                      <a:prstGeom prst="rect">
                        <a:avLst/>
                      </a:prstGeom>
                    </wps:spPr>
                    <wps:txbx>
                      <w:txbxContent>
                        <w:p w14:paraId="02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2" name="Picture 2"/>
              <a:graphic>
                <a:graphicData uri="http://schemas.microsoft.com/office/word/2010/wordprocessingShape">
                  <wps:wsp>
                    <wps:cNvSpPr txBox="true"/>
                    <wps:spPr>
                      <a:xfrm flipH="false" flipV="false" rot="0">
                        <a:off x="0" y="0"/>
                        <a:ext cx="152400" cy="0"/>
                      </a:xfrm>
                      <a:prstGeom prst="rect">
                        <a:avLst/>
                      </a:prstGeom>
                    </wps:spPr>
                    <wps:txbx>
                      <w:txbxContent>
                        <w:p w14:paraId="04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3" name="Picture 3"/>
              <a:graphic>
                <a:graphicData uri="http://schemas.microsoft.com/office/word/2010/wordprocessingShape">
                  <wps:wsp>
                    <wps:cNvSpPr txBox="true"/>
                    <wps:spPr>
                      <a:xfrm flipH="false" flipV="false" rot="0">
                        <a:off x="0" y="0"/>
                        <a:ext cx="152400" cy="0"/>
                      </a:xfrm>
                      <a:prstGeom prst="rect">
                        <a:avLst/>
                      </a:prstGeom>
                    </wps:spPr>
                    <wps:txbx>
                      <w:txbxContent>
                        <w:p w14:paraId="06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4" name="Picture 4"/>
              <a:graphic>
                <a:graphicData uri="http://schemas.microsoft.com/office/word/2010/wordprocessingShape">
                  <wps:wsp>
                    <wps:cNvSpPr txBox="true"/>
                    <wps:spPr>
                      <a:xfrm flipH="false" flipV="false" rot="0">
                        <a:off x="0" y="0"/>
                        <a:ext cx="152400" cy="0"/>
                      </a:xfrm>
                      <a:prstGeom prst="rect">
                        <a:avLst/>
                      </a:prstGeom>
                    </wps:spPr>
                    <wps:txbx>
                      <w:txbxContent>
                        <w:p w14:paraId="08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widowControl w:val="1"/>
        <w:ind w:hanging="360" w:left="720"/>
      </w:pPr>
    </w:lvl>
    <w:lvl w:ilvl="1">
      <w:start w:val="1"/>
      <w:numFmt w:val="lowerLetter"/>
      <w:lvlText w:val="%2."/>
      <w:lvlJc w:val="left"/>
      <w:pPr>
        <w:widowControl w:val="1"/>
        <w:ind w:hanging="360" w:left="1440"/>
      </w:pPr>
    </w:lvl>
    <w:lvl w:ilvl="2">
      <w:start w:val="1"/>
      <w:numFmt w:val="lowerRoman"/>
      <w:lvlText w:val="%3."/>
      <w:lvlJc w:val="right"/>
      <w:pPr>
        <w:widowControl w:val="1"/>
        <w:ind w:hanging="180" w:left="2160"/>
      </w:pPr>
    </w:lvl>
    <w:lvl w:ilvl="3">
      <w:start w:val="1"/>
      <w:numFmt w:val="decimal"/>
      <w:lvlText w:val="%4."/>
      <w:lvlJc w:val="left"/>
      <w:pPr>
        <w:widowControl w:val="1"/>
        <w:ind w:hanging="360" w:left="2880"/>
      </w:pPr>
    </w:lvl>
    <w:lvl w:ilvl="4">
      <w:start w:val="1"/>
      <w:numFmt w:val="lowerLetter"/>
      <w:lvlText w:val="%5."/>
      <w:lvlJc w:val="left"/>
      <w:pPr>
        <w:widowControl w:val="1"/>
        <w:ind w:hanging="360" w:left="3600"/>
      </w:pPr>
    </w:lvl>
    <w:lvl w:ilvl="5">
      <w:start w:val="1"/>
      <w:numFmt w:val="lowerRoman"/>
      <w:lvlText w:val="%6."/>
      <w:lvlJc w:val="right"/>
      <w:pPr>
        <w:widowControl w:val="1"/>
        <w:ind w:hanging="180" w:left="4320"/>
      </w:pPr>
    </w:lvl>
    <w:lvl w:ilvl="6">
      <w:start w:val="1"/>
      <w:numFmt w:val="decimal"/>
      <w:lvlText w:val="%7."/>
      <w:lvlJc w:val="left"/>
      <w:pPr>
        <w:widowControl w:val="1"/>
        <w:ind w:hanging="360" w:left="5040"/>
      </w:pPr>
    </w:lvl>
    <w:lvl w:ilvl="7">
      <w:start w:val="1"/>
      <w:numFmt w:val="lowerLetter"/>
      <w:lvlText w:val="%8."/>
      <w:lvlJc w:val="left"/>
      <w:pPr>
        <w:widowControl w:val="1"/>
        <w:ind w:hanging="360" w:left="5760"/>
      </w:pPr>
    </w:lvl>
    <w:lvl w:ilvl="8">
      <w:start w:val="1"/>
      <w:numFmt w:val="lowerRoman"/>
      <w:lvlText w:val="%9."/>
      <w:lvlJc w:val="right"/>
      <w:pPr>
        <w:widowControl w:val="1"/>
        <w:ind w:hanging="180" w:left="6480"/>
      </w:pPr>
    </w:lvl>
  </w:abstractNum>
  <w:abstractNum w:abstractNumId="1">
    <w:lvl w:ilvl="0">
      <w:start w:val="1"/>
      <w:numFmt w:val="decimal"/>
      <w:lvlText w:val="%1)"/>
      <w:lvlJc w:val="left"/>
      <w:pPr>
        <w:widowControl w:val="1"/>
        <w:ind w:hanging="360" w:left="927"/>
      </w:pPr>
    </w:lvl>
    <w:lvl w:ilvl="1">
      <w:start w:val="1"/>
      <w:numFmt w:val="lowerLetter"/>
      <w:lvlText w:val="%2."/>
      <w:lvlJc w:val="left"/>
      <w:pPr>
        <w:widowControl w:val="1"/>
        <w:ind w:hanging="360" w:left="1647"/>
      </w:pPr>
    </w:lvl>
    <w:lvl w:ilvl="2">
      <w:start w:val="1"/>
      <w:numFmt w:val="lowerRoman"/>
      <w:lvlText w:val="%3."/>
      <w:lvlJc w:val="right"/>
      <w:pPr>
        <w:widowControl w:val="1"/>
        <w:ind w:hanging="180" w:left="2367"/>
      </w:pPr>
    </w:lvl>
    <w:lvl w:ilvl="3">
      <w:start w:val="1"/>
      <w:numFmt w:val="decimal"/>
      <w:lvlText w:val="%4."/>
      <w:lvlJc w:val="left"/>
      <w:pPr>
        <w:widowControl w:val="1"/>
        <w:ind w:hanging="360" w:left="3087"/>
      </w:pPr>
    </w:lvl>
    <w:lvl w:ilvl="4">
      <w:start w:val="1"/>
      <w:numFmt w:val="lowerLetter"/>
      <w:lvlText w:val="%5."/>
      <w:lvlJc w:val="left"/>
      <w:pPr>
        <w:widowControl w:val="1"/>
        <w:ind w:hanging="360" w:left="3807"/>
      </w:pPr>
    </w:lvl>
    <w:lvl w:ilvl="5">
      <w:start w:val="1"/>
      <w:numFmt w:val="lowerRoman"/>
      <w:lvlText w:val="%6."/>
      <w:lvlJc w:val="right"/>
      <w:pPr>
        <w:widowControl w:val="1"/>
        <w:ind w:hanging="180" w:left="4527"/>
      </w:pPr>
    </w:lvl>
    <w:lvl w:ilvl="6">
      <w:start w:val="1"/>
      <w:numFmt w:val="decimal"/>
      <w:lvlText w:val="%7."/>
      <w:lvlJc w:val="left"/>
      <w:pPr>
        <w:widowControl w:val="1"/>
        <w:ind w:hanging="360" w:left="5247"/>
      </w:pPr>
    </w:lvl>
    <w:lvl w:ilvl="7">
      <w:start w:val="1"/>
      <w:numFmt w:val="lowerLetter"/>
      <w:lvlText w:val="%8."/>
      <w:lvlJc w:val="left"/>
      <w:pPr>
        <w:widowControl w:val="1"/>
        <w:ind w:hanging="360" w:left="5967"/>
      </w:pPr>
    </w:lvl>
    <w:lvl w:ilvl="8">
      <w:start w:val="1"/>
      <w:numFmt w:val="lowerRoman"/>
      <w:lvlText w:val="%9."/>
      <w:lvlJc w:val="right"/>
      <w:pPr>
        <w:widowControl w:val="1"/>
        <w:ind w:hanging="180" w:left="6687"/>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567"/>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basedOn w:val="Style_6"/>
    <w:next w:val="Style_6"/>
    <w:link w:val="Style_12_ch"/>
    <w:uiPriority w:val="9"/>
    <w:qFormat/>
    <w:pPr>
      <w:keepNext w:val="1"/>
      <w:widowControl w:val="1"/>
      <w:tabs>
        <w:tab w:leader="none" w:pos="1560" w:val="left"/>
        <w:tab w:leader="none" w:pos="1843" w:val="left"/>
        <w:tab w:leader="none" w:pos="2127" w:val="left"/>
      </w:tabs>
      <w:ind w:firstLine="720"/>
      <w:outlineLvl w:val="2"/>
    </w:pPr>
    <w:rPr>
      <w:sz w:val="28"/>
    </w:rPr>
  </w:style>
  <w:style w:styleId="Style_12_ch" w:type="character">
    <w:name w:val="heading 3"/>
    <w:basedOn w:val="Style_6_ch"/>
    <w:link w:val="Style_12"/>
    <w:rPr>
      <w:sz w:val="28"/>
    </w:rPr>
  </w:style>
  <w:style w:styleId="Style_13" w:type="paragraph">
    <w:name w:val="Default Paragraph Font"/>
    <w:link w:val="Style_13_ch"/>
  </w:style>
  <w:style w:styleId="Style_13_ch" w:type="character">
    <w:name w:val="Default Paragraph Font"/>
    <w:link w:val="Style_13"/>
  </w:style>
  <w:style w:styleId="Style_14" w:type="paragraph">
    <w:name w:val="footer"/>
    <w:basedOn w:val="Style_6"/>
    <w:link w:val="Style_14_ch"/>
    <w:pPr>
      <w:widowControl w:val="1"/>
      <w:tabs>
        <w:tab w:leader="none" w:pos="4677" w:val="center"/>
        <w:tab w:leader="none" w:pos="9355" w:val="right"/>
      </w:tabs>
      <w:ind/>
    </w:pPr>
  </w:style>
  <w:style w:styleId="Style_14_ch" w:type="character">
    <w:name w:val="footer"/>
    <w:basedOn w:val="Style_6_ch"/>
    <w:link w:val="Style_14"/>
  </w:style>
  <w:style w:styleId="Style_15" w:type="paragraph">
    <w:name w:val="Block Text"/>
    <w:basedOn w:val="Style_6"/>
    <w:link w:val="Style_15_ch"/>
    <w:pPr>
      <w:widowControl w:val="1"/>
      <w:ind w:left="-567" w:right="-454"/>
      <w:jc w:val="both"/>
    </w:pPr>
    <w:rPr>
      <w:spacing w:val="8"/>
      <w:sz w:val="36"/>
    </w:rPr>
  </w:style>
  <w:style w:styleId="Style_15_ch" w:type="character">
    <w:name w:val="Block Text"/>
    <w:basedOn w:val="Style_6_ch"/>
    <w:link w:val="Style_15"/>
    <w:rPr>
      <w:spacing w:val="8"/>
      <w:sz w:val="36"/>
    </w:rPr>
  </w:style>
  <w:style w:styleId="Style_16" w:type="paragraph">
    <w:name w:val="toc 3"/>
    <w:next w:val="Style_6"/>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Абзац списка1"/>
    <w:basedOn w:val="Style_6"/>
    <w:link w:val="Style_17_ch"/>
    <w:pPr>
      <w:widowControl w:val="1"/>
      <w:spacing w:after="200" w:line="276" w:lineRule="auto"/>
      <w:ind w:left="720"/>
    </w:pPr>
    <w:rPr>
      <w:rFonts w:ascii="Calibri" w:hAnsi="Calibri"/>
      <w:sz w:val="22"/>
    </w:rPr>
  </w:style>
  <w:style w:styleId="Style_17_ch" w:type="character">
    <w:name w:val="Абзац списка1"/>
    <w:basedOn w:val="Style_6_ch"/>
    <w:link w:val="Style_17"/>
    <w:rPr>
      <w:rFonts w:ascii="Calibri" w:hAnsi="Calibri"/>
      <w:sz w:val="22"/>
    </w:rPr>
  </w:style>
  <w:style w:styleId="Style_18" w:type="paragraph">
    <w:name w:val="Char Style 11"/>
    <w:link w:val="Style_18_ch"/>
    <w:rPr>
      <w:sz w:val="26"/>
      <w:u w:val="single"/>
    </w:rPr>
  </w:style>
  <w:style w:styleId="Style_18_ch" w:type="character">
    <w:name w:val="Char Style 11"/>
    <w:link w:val="Style_18"/>
    <w:rPr>
      <w:sz w:val="26"/>
      <w:u w:val="single"/>
    </w:rPr>
  </w:style>
  <w:style w:styleId="Style_19" w:type="paragraph">
    <w:name w:val="Body Single"/>
    <w:link w:val="Style_19_ch"/>
    <w:pPr>
      <w:widowControl w:val="0"/>
      <w:ind/>
    </w:pPr>
    <w:rPr>
      <w:color w:val="000000"/>
      <w:sz w:val="28"/>
    </w:rPr>
  </w:style>
  <w:style w:styleId="Style_19_ch" w:type="character">
    <w:name w:val="Body Single"/>
    <w:link w:val="Style_19"/>
    <w:rPr>
      <w:color w:val="000000"/>
      <w:sz w:val="28"/>
    </w:rPr>
  </w:style>
  <w:style w:styleId="Style_20" w:type="paragraph">
    <w:name w:val="heading 5"/>
    <w:basedOn w:val="Style_6"/>
    <w:next w:val="Style_6"/>
    <w:link w:val="Style_20_ch"/>
    <w:uiPriority w:val="9"/>
    <w:qFormat/>
    <w:pPr>
      <w:keepNext w:val="1"/>
      <w:widowControl w:val="1"/>
      <w:spacing w:before="120"/>
      <w:ind/>
      <w:jc w:val="center"/>
      <w:outlineLvl w:val="4"/>
    </w:pPr>
    <w:rPr>
      <w:rFonts w:ascii="Times New Roman" w:hAnsi="Times New Roman"/>
      <w:b w:val="1"/>
      <w:sz w:val="28"/>
    </w:rPr>
  </w:style>
  <w:style w:styleId="Style_20_ch" w:type="character">
    <w:name w:val="heading 5"/>
    <w:basedOn w:val="Style_6_ch"/>
    <w:link w:val="Style_20"/>
    <w:rPr>
      <w:rFonts w:ascii="Times New Roman" w:hAnsi="Times New Roman"/>
      <w:b w:val="1"/>
      <w:sz w:val="28"/>
    </w:rPr>
  </w:style>
  <w:style w:styleId="Style_21" w:type="paragraph">
    <w:name w:val="heading 1"/>
    <w:basedOn w:val="Style_6"/>
    <w:next w:val="Style_6"/>
    <w:link w:val="Style_21_ch"/>
    <w:uiPriority w:val="9"/>
    <w:qFormat/>
    <w:pPr>
      <w:keepNext w:val="1"/>
      <w:widowControl w:val="1"/>
      <w:tabs>
        <w:tab w:leader="none" w:pos="1560" w:val="left"/>
      </w:tabs>
      <w:ind/>
      <w:outlineLvl w:val="0"/>
    </w:pPr>
    <w:rPr>
      <w:sz w:val="28"/>
    </w:rPr>
  </w:style>
  <w:style w:styleId="Style_21_ch" w:type="character">
    <w:name w:val="heading 1"/>
    <w:basedOn w:val="Style_6_ch"/>
    <w:link w:val="Style_21"/>
    <w:rPr>
      <w:sz w:val="28"/>
    </w:rPr>
  </w:style>
  <w:style w:styleId="Style_22" w:type="paragraph">
    <w:name w:val="Hyperlink"/>
    <w:link w:val="Style_22_ch"/>
    <w:rPr>
      <w:color w:val="3272C0"/>
      <w:u w:val="none"/>
    </w:rPr>
  </w:style>
  <w:style w:styleId="Style_22_ch" w:type="character">
    <w:name w:val="Hyperlink"/>
    <w:link w:val="Style_22"/>
    <w:rPr>
      <w:color w:val="3272C0"/>
      <w:u w:val="non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toc 1"/>
    <w:next w:val="Style_6"/>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Основной текст 21"/>
    <w:basedOn w:val="Style_6"/>
    <w:link w:val="Style_25_ch"/>
    <w:pPr>
      <w:widowControl w:val="1"/>
      <w:spacing w:before="120"/>
      <w:ind w:firstLine="567"/>
      <w:jc w:val="both"/>
    </w:pPr>
    <w:rPr>
      <w:rFonts w:ascii="TimesDL" w:hAnsi="TimesDL"/>
      <w:sz w:val="24"/>
    </w:rPr>
  </w:style>
  <w:style w:styleId="Style_25_ch" w:type="character">
    <w:name w:val="Основной текст 21"/>
    <w:basedOn w:val="Style_6_ch"/>
    <w:link w:val="Style_25"/>
    <w:rPr>
      <w:rFonts w:ascii="TimesDL" w:hAnsi="TimesDL"/>
      <w:sz w:val="24"/>
    </w:rPr>
  </w:style>
  <w:style w:styleId="Style_26" w:type="paragraph">
    <w:name w:val="Default"/>
    <w:link w:val="Style_26_ch"/>
    <w:rPr>
      <w:color w:val="000000"/>
      <w:sz w:val="24"/>
    </w:rPr>
  </w:style>
  <w:style w:styleId="Style_26_ch" w:type="character">
    <w:name w:val="Default"/>
    <w:link w:val="Style_26"/>
    <w:rPr>
      <w:color w:val="000000"/>
      <w:sz w:val="24"/>
    </w:rPr>
  </w:style>
  <w:style w:styleId="Style_27" w:type="paragraph">
    <w:name w:val="Header and Footer"/>
    <w:link w:val="Style_27_ch"/>
    <w:pPr>
      <w:spacing w:line="240" w:lineRule="auto"/>
      <w:ind/>
      <w:jc w:val="both"/>
    </w:pPr>
    <w:rPr>
      <w:rFonts w:ascii="XO Thames" w:hAnsi="XO Thames"/>
      <w:sz w:val="28"/>
    </w:rPr>
  </w:style>
  <w:style w:styleId="Style_27_ch" w:type="character">
    <w:name w:val="Header and Footer"/>
    <w:link w:val="Style_27"/>
    <w:rPr>
      <w:rFonts w:ascii="XO Thames" w:hAnsi="XO Thames"/>
      <w:sz w:val="28"/>
    </w:rPr>
  </w:style>
  <w:style w:styleId="Style_28" w:type="paragraph">
    <w:name w:val="Balloon Text"/>
    <w:basedOn w:val="Style_6"/>
    <w:link w:val="Style_28_ch"/>
    <w:rPr>
      <w:rFonts w:ascii="Tahoma" w:hAnsi="Tahoma"/>
      <w:sz w:val="16"/>
    </w:rPr>
  </w:style>
  <w:style w:styleId="Style_28_ch" w:type="character">
    <w:name w:val="Balloon Text"/>
    <w:basedOn w:val="Style_6_ch"/>
    <w:link w:val="Style_28"/>
    <w:rPr>
      <w:rFonts w:ascii="Tahoma" w:hAnsi="Tahoma"/>
      <w:sz w:val="16"/>
    </w:rPr>
  </w:style>
  <w:style w:styleId="Style_29" w:type="paragraph">
    <w:name w:val="çàãîëîâîê 1"/>
    <w:basedOn w:val="Style_6"/>
    <w:next w:val="Style_6"/>
    <w:link w:val="Style_29_ch"/>
    <w:pPr>
      <w:keepNext w:val="1"/>
      <w:widowControl w:val="1"/>
      <w:spacing w:before="120"/>
      <w:ind w:firstLine="720"/>
      <w:jc w:val="both"/>
    </w:pPr>
    <w:rPr>
      <w:rFonts w:ascii="Arial" w:hAnsi="Arial"/>
      <w:sz w:val="32"/>
    </w:rPr>
  </w:style>
  <w:style w:styleId="Style_29_ch" w:type="character">
    <w:name w:val="çàãîëîâîê 1"/>
    <w:basedOn w:val="Style_6_ch"/>
    <w:link w:val="Style_29"/>
    <w:rPr>
      <w:rFonts w:ascii="Arial" w:hAnsi="Arial"/>
      <w:sz w:val="32"/>
    </w:rPr>
  </w:style>
  <w:style w:styleId="Style_5" w:type="paragraph">
    <w:name w:val="ConsPlusNormal"/>
    <w:link w:val="Style_5_ch"/>
    <w:pPr>
      <w:widowControl w:val="0"/>
      <w:ind/>
    </w:pPr>
    <w:rPr>
      <w:rFonts w:ascii="Calibri" w:hAnsi="Calibri"/>
      <w:sz w:val="22"/>
    </w:rPr>
  </w:style>
  <w:style w:styleId="Style_5_ch" w:type="character">
    <w:name w:val="ConsPlusNormal"/>
    <w:link w:val="Style_5"/>
    <w:rPr>
      <w:rFonts w:ascii="Calibri" w:hAnsi="Calibri"/>
      <w:sz w:val="22"/>
    </w:rPr>
  </w:style>
  <w:style w:styleId="Style_30" w:type="paragraph">
    <w:name w:val="Неразрешенное упоминание"/>
    <w:link w:val="Style_30_ch"/>
    <w:rPr>
      <w:color w:val="605E5C"/>
      <w:shd w:fill="E1DFDD" w:val="clear"/>
    </w:rPr>
  </w:style>
  <w:style w:styleId="Style_30_ch" w:type="character">
    <w:name w:val="Неразрешенное упоминание"/>
    <w:link w:val="Style_30"/>
    <w:rPr>
      <w:color w:val="605E5C"/>
      <w:shd w:fill="E1DFDD" w:val="clear"/>
    </w:rPr>
  </w:style>
  <w:style w:styleId="Style_1" w:type="paragraph">
    <w:name w:val="header"/>
    <w:basedOn w:val="Style_6"/>
    <w:link w:val="Style_1_ch"/>
    <w:pPr>
      <w:widowControl w:val="1"/>
      <w:tabs>
        <w:tab w:leader="none" w:pos="4677" w:val="center"/>
        <w:tab w:leader="none" w:pos="9355" w:val="right"/>
      </w:tabs>
      <w:ind/>
    </w:pPr>
  </w:style>
  <w:style w:styleId="Style_1_ch" w:type="character">
    <w:name w:val="header"/>
    <w:basedOn w:val="Style_6_ch"/>
    <w:link w:val="Style_1"/>
  </w:style>
  <w:style w:styleId="Style_31" w:type="paragraph">
    <w:name w:val="toc 9"/>
    <w:next w:val="Style_6"/>
    <w:link w:val="Style_31_ch"/>
    <w:uiPriority w:val="39"/>
    <w:pPr>
      <w:ind w:firstLine="0" w:left="1600"/>
      <w:jc w:val="left"/>
    </w:pPr>
    <w:rPr>
      <w:rFonts w:ascii="XO Thames" w:hAnsi="XO Thames"/>
      <w:sz w:val="28"/>
    </w:rPr>
  </w:style>
  <w:style w:styleId="Style_31_ch" w:type="character">
    <w:name w:val="toc 9"/>
    <w:link w:val="Style_31"/>
    <w:rPr>
      <w:rFonts w:ascii="XO Thames" w:hAnsi="XO Thames"/>
      <w:sz w:val="28"/>
    </w:rPr>
  </w:style>
  <w:style w:styleId="Style_2" w:type="paragraph">
    <w:name w:val="page number"/>
    <w:basedOn w:val="Style_13"/>
    <w:link w:val="Style_2_ch"/>
  </w:style>
  <w:style w:styleId="Style_2_ch" w:type="character">
    <w:name w:val="page number"/>
    <w:basedOn w:val="Style_13_ch"/>
    <w:link w:val="Style_2"/>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32" w:type="paragraph">
    <w:name w:val="toc 8"/>
    <w:next w:val="Style_6"/>
    <w:link w:val="Style_32_ch"/>
    <w:uiPriority w:val="39"/>
    <w:pPr>
      <w:ind w:firstLine="0" w:left="1400"/>
      <w:jc w:val="left"/>
    </w:pPr>
    <w:rPr>
      <w:rFonts w:ascii="XO Thames" w:hAnsi="XO Thames"/>
      <w:sz w:val="28"/>
    </w:rPr>
  </w:style>
  <w:style w:styleId="Style_32_ch" w:type="character">
    <w:name w:val="toc 8"/>
    <w:link w:val="Style_32"/>
    <w:rPr>
      <w:rFonts w:ascii="XO Thames" w:hAnsi="XO Thames"/>
      <w:sz w:val="28"/>
    </w:rPr>
  </w:style>
  <w:style w:styleId="Style_33" w:type="paragraph">
    <w:name w:val="toc 5"/>
    <w:next w:val="Style_6"/>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34" w:type="paragraph">
    <w:name w:val="Body Text"/>
    <w:basedOn w:val="Style_6"/>
    <w:link w:val="Style_34_ch"/>
    <w:pPr>
      <w:widowControl w:val="1"/>
      <w:spacing w:before="240" w:line="240" w:lineRule="atLeast"/>
      <w:ind/>
    </w:pPr>
    <w:rPr>
      <w:rFonts w:ascii="TimesET" w:hAnsi="TimesET"/>
      <w:sz w:val="28"/>
    </w:rPr>
  </w:style>
  <w:style w:styleId="Style_34_ch" w:type="character">
    <w:name w:val="Body Text"/>
    <w:basedOn w:val="Style_6_ch"/>
    <w:link w:val="Style_34"/>
    <w:rPr>
      <w:rFonts w:ascii="TimesET" w:hAnsi="TimesET"/>
      <w:sz w:val="28"/>
    </w:rPr>
  </w:style>
  <w:style w:styleId="Style_35" w:type="paragraph">
    <w:name w:val="Subtitle"/>
    <w:next w:val="Style_6"/>
    <w:link w:val="Style_35_ch"/>
    <w:uiPriority w:val="11"/>
    <w:qFormat/>
    <w:pPr>
      <w:ind/>
      <w:jc w:val="both"/>
    </w:pPr>
    <w:rPr>
      <w:rFonts w:ascii="XO Thames" w:hAnsi="XO Thames"/>
      <w:i w:val="1"/>
      <w:sz w:val="24"/>
    </w:rPr>
  </w:style>
  <w:style w:styleId="Style_35_ch" w:type="character">
    <w:name w:val="Subtitle"/>
    <w:link w:val="Style_35"/>
    <w:rPr>
      <w:rFonts w:ascii="XO Thames" w:hAnsi="XO Thames"/>
      <w:i w:val="1"/>
      <w:sz w:val="24"/>
    </w:rPr>
  </w:style>
  <w:style w:styleId="Style_36" w:type="paragraph">
    <w:name w:val="List Paragraph"/>
    <w:basedOn w:val="Style_6"/>
    <w:link w:val="Style_36_ch"/>
    <w:pPr>
      <w:widowControl w:val="1"/>
      <w:spacing w:after="200" w:line="276" w:lineRule="auto"/>
      <w:ind w:left="720"/>
      <w:contextualSpacing w:val="1"/>
    </w:pPr>
    <w:rPr>
      <w:rFonts w:ascii="Calibri" w:hAnsi="Calibri"/>
      <w:sz w:val="22"/>
    </w:rPr>
  </w:style>
  <w:style w:styleId="Style_36_ch" w:type="character">
    <w:name w:val="List Paragraph"/>
    <w:basedOn w:val="Style_6_ch"/>
    <w:link w:val="Style_36"/>
    <w:rPr>
      <w:rFonts w:ascii="Calibri" w:hAnsi="Calibri"/>
      <w:sz w:val="22"/>
    </w:rPr>
  </w:style>
  <w:style w:styleId="Style_37" w:type="paragraph">
    <w:name w:val="Title"/>
    <w:next w:val="Style_6"/>
    <w:link w:val="Style_37_ch"/>
    <w:uiPriority w:val="10"/>
    <w:qFormat/>
    <w:pPr>
      <w:spacing w:after="567" w:before="567"/>
      <w:ind/>
      <w:jc w:val="center"/>
    </w:pPr>
    <w:rPr>
      <w:rFonts w:ascii="XO Thames" w:hAnsi="XO Thames"/>
      <w:b w:val="1"/>
      <w:caps w:val="1"/>
      <w:sz w:val="40"/>
    </w:rPr>
  </w:style>
  <w:style w:styleId="Style_37_ch" w:type="character">
    <w:name w:val="Title"/>
    <w:link w:val="Style_37"/>
    <w:rPr>
      <w:rFonts w:ascii="XO Thames" w:hAnsi="XO Thames"/>
      <w:b w:val="1"/>
      <w:caps w:val="1"/>
      <w:sz w:val="40"/>
    </w:rPr>
  </w:style>
  <w:style w:styleId="Style_38" w:type="paragraph">
    <w:name w:val="heading 4"/>
    <w:basedOn w:val="Style_6"/>
    <w:next w:val="Style_6"/>
    <w:link w:val="Style_38_ch"/>
    <w:uiPriority w:val="9"/>
    <w:qFormat/>
    <w:pPr>
      <w:keepNext w:val="1"/>
      <w:widowControl w:val="1"/>
      <w:ind/>
      <w:jc w:val="center"/>
      <w:outlineLvl w:val="3"/>
    </w:pPr>
    <w:rPr>
      <w:rFonts w:ascii="Times New Roman" w:hAnsi="Times New Roman"/>
      <w:b w:val="1"/>
      <w:sz w:val="36"/>
    </w:rPr>
  </w:style>
  <w:style w:styleId="Style_38_ch" w:type="character">
    <w:name w:val="heading 4"/>
    <w:basedOn w:val="Style_6_ch"/>
    <w:link w:val="Style_38"/>
    <w:rPr>
      <w:rFonts w:ascii="Times New Roman" w:hAnsi="Times New Roman"/>
      <w:b w:val="1"/>
      <w:sz w:val="36"/>
    </w:rPr>
  </w:style>
  <w:style w:styleId="Style_39" w:type="paragraph">
    <w:name w:val="heading 2"/>
    <w:basedOn w:val="Style_6"/>
    <w:next w:val="Style_6"/>
    <w:link w:val="Style_39_ch"/>
    <w:uiPriority w:val="9"/>
    <w:qFormat/>
    <w:pPr>
      <w:keepNext w:val="1"/>
      <w:widowControl w:val="1"/>
      <w:tabs>
        <w:tab w:leader="none" w:pos="1560" w:val="left"/>
        <w:tab w:leader="none" w:pos="1843" w:val="left"/>
        <w:tab w:leader="none" w:pos="2127" w:val="left"/>
      </w:tabs>
      <w:ind w:firstLine="720" w:right="-851"/>
      <w:outlineLvl w:val="1"/>
    </w:pPr>
    <w:rPr>
      <w:sz w:val="28"/>
    </w:rPr>
  </w:style>
  <w:style w:styleId="Style_39_ch" w:type="character">
    <w:name w:val="heading 2"/>
    <w:basedOn w:val="Style_6_ch"/>
    <w:link w:val="Style_39"/>
    <w:rPr>
      <w:sz w:val="28"/>
    </w:rPr>
  </w:style>
  <w:style w:styleId="Style_40" w:type="paragraph">
    <w:name w:val="Iacaaiea"/>
    <w:basedOn w:val="Style_6"/>
    <w:link w:val="Style_40_ch"/>
    <w:pPr>
      <w:widowControl w:val="1"/>
      <w:ind/>
      <w:jc w:val="center"/>
    </w:pPr>
    <w:rPr>
      <w:b w:val="1"/>
      <w:sz w:val="28"/>
    </w:rPr>
  </w:style>
  <w:style w:styleId="Style_40_ch" w:type="character">
    <w:name w:val="Iacaaiea"/>
    <w:basedOn w:val="Style_6_ch"/>
    <w:link w:val="Style_40"/>
    <w:rPr>
      <w:b w:val="1"/>
      <w:sz w:val="28"/>
    </w:rPr>
  </w:style>
  <w:style w:styleId="Style_41" w:type="paragraph">
    <w:name w:val="Style 2"/>
    <w:basedOn w:val="Style_6"/>
    <w:link w:val="Style_41_ch"/>
    <w:pPr>
      <w:widowControl w:val="0"/>
      <w:spacing w:line="339" w:lineRule="exact"/>
      <w:ind/>
      <w:jc w:val="center"/>
    </w:pPr>
    <w:rPr>
      <w:sz w:val="26"/>
    </w:rPr>
  </w:style>
  <w:style w:styleId="Style_41_ch" w:type="character">
    <w:name w:val="Style 2"/>
    <w:basedOn w:val="Style_6_ch"/>
    <w:link w:val="Style_41"/>
    <w:rPr>
      <w:sz w:val="26"/>
    </w:rPr>
  </w:style>
  <w:style w:styleId="Style_42"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header2.xml" Type="http://schemas.openxmlformats.org/officeDocument/2006/relationships/header"/>
  <Relationship Id="rId3" Target="header3.xml" Type="http://schemas.openxmlformats.org/officeDocument/2006/relationships/header"/>
  <Relationship Id="rId8" Target="stylesWithEffects.xml" Type="http://schemas.microsoft.com/office/2007/relationships/stylesWithEffects"/>
  <Relationship Id="rId4" Target="header4.xml" Type="http://schemas.openxmlformats.org/officeDocument/2006/relationships/header"/>
  <Relationship Id="rId11" Target="numbering.xml" Type="http://schemas.openxmlformats.org/officeDocument/2006/relationships/numbering"/>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2025-02-27T06:44:13Z</dcterms:created>
  <dcterms:modified xsi:type="dcterms:W3CDTF">2025-02-27T06:44:13Z</dcterms:modified>
</cp:coreProperties>
</file>