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8" w:left="5104"/>
        <w:jc w:val="center"/>
        <w:rPr>
          <w:sz w:val="28"/>
        </w:rPr>
      </w:pPr>
      <w:r>
        <w:t>Приложение 1</w:t>
      </w:r>
    </w:p>
    <w:p w14:paraId="04000000">
      <w:pPr>
        <w:ind w:firstLine="0" w:left="5812"/>
        <w:jc w:val="both"/>
      </w:pPr>
      <w:r>
        <w:t>к решению Совета народных депутатов Крапивинского муниципал</w:t>
      </w:r>
      <w:r>
        <w:t>ь</w:t>
      </w:r>
      <w:r>
        <w:t>ного округа</w:t>
      </w:r>
    </w:p>
    <w:p w14:paraId="05000000">
      <w:pPr>
        <w:ind w:firstLine="0" w:left="5812"/>
        <w:jc w:val="both"/>
      </w:pPr>
      <w:r>
        <w:t>от 29.07.2024 № 499</w:t>
      </w:r>
    </w:p>
    <w:p w14:paraId="06000000">
      <w:pPr>
        <w:ind w:firstLine="0" w:left="5670"/>
        <w:jc w:val="both"/>
        <w:rPr>
          <w:sz w:val="28"/>
        </w:rPr>
      </w:pPr>
    </w:p>
    <w:p w14:paraId="07000000">
      <w:pPr>
        <w:ind w:firstLine="0" w:left="5670"/>
        <w:jc w:val="both"/>
        <w:rPr>
          <w:sz w:val="28"/>
        </w:rPr>
      </w:pPr>
    </w:p>
    <w:p w14:paraId="08000000">
      <w:pPr>
        <w:pStyle w:val="Style_2"/>
        <w:ind/>
        <w:jc w:val="center"/>
        <w:rPr>
          <w:b w:val="1"/>
          <w:sz w:val="28"/>
        </w:rPr>
      </w:pPr>
      <w:r>
        <w:rPr>
          <w:b w:val="1"/>
          <w:sz w:val="28"/>
        </w:rPr>
        <w:t>План приватизации объектов муниципальной собственности Крапивинского муниципального округа</w:t>
      </w:r>
    </w:p>
    <w:p w14:paraId="09000000">
      <w:pPr>
        <w:pStyle w:val="Style_2"/>
        <w:ind/>
        <w:jc w:val="center"/>
        <w:rPr>
          <w:b w:val="1"/>
          <w:sz w:val="28"/>
        </w:rPr>
      </w:pPr>
      <w:r>
        <w:rPr>
          <w:b w:val="1"/>
          <w:sz w:val="28"/>
        </w:rPr>
        <w:t>на 2024 год</w:t>
      </w:r>
    </w:p>
    <w:p w14:paraId="0A000000">
      <w:pPr>
        <w:pStyle w:val="Style_2"/>
        <w:ind/>
        <w:jc w:val="center"/>
        <w:rPr>
          <w:b w:val="1"/>
          <w:sz w:val="28"/>
        </w:rPr>
      </w:pPr>
    </w:p>
    <w:p w14:paraId="0B000000">
      <w:pPr>
        <w:pStyle w:val="Style_2"/>
        <w:ind/>
        <w:jc w:val="center"/>
        <w:rPr>
          <w:b w:val="1"/>
          <w:sz w:val="28"/>
        </w:rPr>
      </w:pPr>
    </w:p>
    <w:tbl>
      <w:tblPr>
        <w:tblStyle w:val="Style_3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23"/>
        <w:gridCol w:w="1951"/>
        <w:gridCol w:w="1479"/>
        <w:gridCol w:w="5386"/>
      </w:tblGrid>
      <w:tr>
        <w:tc>
          <w:tcPr>
            <w:tcW w:type="dxa" w:w="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ind/>
              <w:jc w:val="center"/>
              <w:rPr>
                <w:sz w:val="24"/>
              </w:rPr>
            </w:pPr>
            <w:bookmarkStart w:id="1" w:name="_Hlk90281265"/>
            <w:r>
              <w:rPr>
                <w:sz w:val="24"/>
              </w:rPr>
              <w:t>№ п/п</w:t>
            </w:r>
          </w:p>
        </w:tc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объекта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Площадь, кв.м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ind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Местоположение объекта</w:t>
            </w:r>
          </w:p>
        </w:tc>
      </w:tr>
      <w:tr>
        <w:tc>
          <w:tcPr>
            <w:tcW w:type="dxa" w:w="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numPr>
                <w:ilvl w:val="0"/>
                <w:numId w:val="1"/>
              </w:numPr>
              <w:ind w:hanging="357" w:left="414"/>
              <w:rPr>
                <w:sz w:val="24"/>
              </w:rPr>
            </w:pPr>
          </w:p>
        </w:tc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rPr>
                <w:sz w:val="24"/>
              </w:rPr>
            </w:pPr>
            <w:r>
              <w:rPr>
                <w:sz w:val="24"/>
              </w:rPr>
              <w:t>Нежилое здание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271,2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Кемеровская область, Крапивинский Муниципальный Район, Городское Поселение Зеленогорское, Поселок городского типа Зеленогорский, улица Центральная, 77</w:t>
            </w:r>
          </w:p>
          <w:p w14:paraId="14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кадастровый </w:t>
            </w:r>
            <w:r>
              <w:rPr>
                <w:sz w:val="24"/>
                <w:highlight w:val="white"/>
              </w:rPr>
              <w:t>42:05:0110001:4286</w:t>
            </w:r>
          </w:p>
        </w:tc>
      </w:tr>
      <w:tr>
        <w:tc>
          <w:tcPr>
            <w:tcW w:type="dxa" w:w="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numPr>
                <w:ilvl w:val="0"/>
                <w:numId w:val="1"/>
              </w:numPr>
              <w:ind w:hanging="357" w:left="414"/>
              <w:rPr>
                <w:sz w:val="24"/>
              </w:rPr>
            </w:pPr>
          </w:p>
        </w:tc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rPr>
                <w:sz w:val="24"/>
              </w:rPr>
            </w:pPr>
            <w:r>
              <w:rPr>
                <w:sz w:val="24"/>
              </w:rPr>
              <w:t xml:space="preserve">Нежилое помещение 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120,0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ind/>
              <w:jc w:val="both"/>
              <w:rPr>
                <w:sz w:val="24"/>
              </w:rPr>
            </w:pPr>
            <w:r>
              <w:rPr>
                <w:sz w:val="24"/>
                <w:highlight w:val="white"/>
              </w:rPr>
              <w:t>Российская Федерация, Кемеровская область-Кузбасс, Крапивинский муниципальный округ, д. Ключи, улица Таежная, д. 19, помещение 1</w:t>
            </w:r>
            <w:r>
              <w:rPr>
                <w:sz w:val="24"/>
              </w:rPr>
              <w:t xml:space="preserve"> </w:t>
            </w:r>
          </w:p>
          <w:p w14:paraId="1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кадастровый номер: 42:05:0114003:406</w:t>
            </w:r>
          </w:p>
        </w:tc>
      </w:tr>
    </w:tbl>
    <w:p w14:paraId="1A000000">
      <w:pPr>
        <w:rPr>
          <w:sz w:val="28"/>
        </w:rPr>
      </w:pPr>
    </w:p>
    <w:p w14:paraId="1B000000">
      <w:pPr>
        <w:tabs>
          <w:tab w:leader="none" w:pos="1134" w:val="left"/>
        </w:tabs>
        <w:ind w:firstLine="709" w:left="0"/>
        <w:jc w:val="center"/>
        <w:rPr>
          <w:b w:val="1"/>
          <w:sz w:val="28"/>
        </w:rPr>
      </w:pPr>
      <w:bookmarkEnd w:id="1"/>
      <w:r>
        <w:rPr>
          <w:b w:val="1"/>
          <w:sz w:val="28"/>
        </w:rPr>
        <w:t>Прогноз объемов поступлений в бюджет Крапивинского муниципального округа на 2024 год</w:t>
      </w:r>
    </w:p>
    <w:p w14:paraId="1C000000">
      <w:pPr>
        <w:tabs>
          <w:tab w:leader="none" w:pos="1134" w:val="left"/>
        </w:tabs>
        <w:ind w:firstLine="709" w:left="0"/>
        <w:jc w:val="center"/>
        <w:rPr>
          <w:b w:val="1"/>
          <w:sz w:val="28"/>
        </w:rPr>
      </w:pPr>
    </w:p>
    <w:p w14:paraId="1D000000">
      <w:pPr>
        <w:tabs>
          <w:tab w:leader="none" w:pos="1134" w:val="left"/>
        </w:tabs>
        <w:ind w:firstLine="709" w:left="0"/>
        <w:jc w:val="both"/>
        <w:rPr>
          <w:sz w:val="28"/>
        </w:rPr>
      </w:pPr>
      <w:bookmarkStart w:id="2" w:name="_Hlk90281297"/>
      <w:r>
        <w:rPr>
          <w:sz w:val="28"/>
        </w:rPr>
        <w:t xml:space="preserve">Прогноз объемов поступлений в бюджет Крапивинского муниципального округа на 2024 год в результате исполнения программы приватизации, рассчитанный в соответствии с Методикой прогнозирования налоговых и неналоговых доходов на очередной финансовый год составляет </w:t>
      </w:r>
      <w:r>
        <w:rPr>
          <w:b w:val="1"/>
          <w:color w:val="000000"/>
          <w:sz w:val="28"/>
        </w:rPr>
        <w:t xml:space="preserve">2854,6 </w:t>
      </w:r>
      <w:r>
        <w:rPr>
          <w:color w:val="000000"/>
          <w:sz w:val="28"/>
        </w:rPr>
        <w:t>тыс.руб.</w:t>
      </w:r>
      <w:bookmarkEnd w:id="2"/>
      <w:r>
        <w:rPr>
          <w:color w:val="000000"/>
          <w:sz w:val="28"/>
        </w:rPr>
        <w:t>, рассчитанной по формуле</w:t>
      </w:r>
      <w:r>
        <w:rPr>
          <w:sz w:val="28"/>
        </w:rPr>
        <w:t>:</w:t>
      </w:r>
    </w:p>
    <w:p w14:paraId="1E000000">
      <w:pPr>
        <w:tabs>
          <w:tab w:leader="none" w:pos="1134" w:val="left"/>
        </w:tabs>
        <w:ind w:firstLine="709" w:left="0"/>
        <w:jc w:val="both"/>
        <w:rPr>
          <w:sz w:val="28"/>
        </w:rPr>
      </w:pPr>
    </w:p>
    <w:p w14:paraId="1F000000">
      <w:pPr>
        <w:pStyle w:val="Style_4"/>
        <w:spacing w:before="0" w:line="317" w:lineRule="exact"/>
        <w:ind w:hanging="20" w:left="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Др.и. = ∑ Др.и.з./</w:t>
      </w:r>
      <w:r>
        <w:rPr>
          <w:rFonts w:ascii="Times New Roman" w:hAnsi="Times New Roman"/>
          <w:b w:val="1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,  где:</w:t>
      </w:r>
    </w:p>
    <w:p w14:paraId="20000000">
      <w:pPr>
        <w:pStyle w:val="Style_4"/>
        <w:spacing w:before="0" w:line="317" w:lineRule="exact"/>
        <w:ind w:firstLine="0" w:left="20"/>
        <w:rPr>
          <w:rFonts w:ascii="Times New Roman" w:hAnsi="Times New Roman"/>
          <w:sz w:val="28"/>
        </w:rPr>
      </w:pPr>
    </w:p>
    <w:p w14:paraId="21000000">
      <w:pPr>
        <w:pStyle w:val="Style_4"/>
        <w:spacing w:before="0" w:line="317" w:lineRule="exact"/>
        <w:ind w:firstLine="560" w:left="2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Др.и.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 - прогноз поступлений доходов от реализации имущества;</w:t>
      </w:r>
    </w:p>
    <w:p w14:paraId="22000000">
      <w:pPr>
        <w:pStyle w:val="Style_4"/>
        <w:spacing w:before="0" w:line="317" w:lineRule="exact"/>
        <w:ind w:firstLine="560" w:left="20" w:right="2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Др.и.з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- объем поступлений доходов от реализации имущества за каждый год из предшествующего периода прошлых лет;</w:t>
      </w:r>
    </w:p>
    <w:p w14:paraId="23000000">
      <w:pPr>
        <w:pStyle w:val="Style_4"/>
        <w:spacing w:before="0" w:line="317" w:lineRule="exact"/>
        <w:ind w:firstLine="560" w:left="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- количество отчетных периодов (не менее 3 лет).</w:t>
      </w:r>
    </w:p>
    <w:p w14:paraId="24000000">
      <w:pPr>
        <w:pStyle w:val="Style_4"/>
        <w:spacing w:before="0" w:line="317" w:lineRule="exact"/>
        <w:ind w:firstLine="560" w:left="20"/>
        <w:rPr>
          <w:rFonts w:ascii="Times New Roman" w:hAnsi="Times New Roman"/>
          <w:sz w:val="28"/>
        </w:rPr>
      </w:pPr>
    </w:p>
    <w:p w14:paraId="25000000">
      <w:pPr>
        <w:tabs>
          <w:tab w:leader="none" w:pos="1134" w:val="left"/>
        </w:tabs>
        <w:ind/>
        <w:jc w:val="both"/>
        <w:rPr>
          <w:sz w:val="28"/>
        </w:rPr>
      </w:pPr>
      <w:r>
        <w:rPr>
          <w:sz w:val="28"/>
        </w:rPr>
        <w:t>Таким образом:</w:t>
      </w:r>
    </w:p>
    <w:p w14:paraId="26000000">
      <w:pPr>
        <w:tabs>
          <w:tab w:leader="none" w:pos="1134" w:val="left"/>
        </w:tabs>
        <w:ind/>
        <w:jc w:val="both"/>
        <w:rPr>
          <w:sz w:val="28"/>
        </w:rPr>
      </w:pPr>
    </w:p>
    <w:p w14:paraId="27000000">
      <w:pPr>
        <w:pStyle w:val="Style_4"/>
        <w:spacing w:before="0" w:line="317" w:lineRule="exact"/>
        <w:ind w:firstLine="560" w:left="2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Др.и. = (1745,8+2539,3+4278,1)/3 = 2854,6 тыс.руб.</w:t>
      </w:r>
    </w:p>
    <w:p w14:paraId="28000000">
      <w:pPr>
        <w:pStyle w:val="Style_4"/>
        <w:spacing w:before="0" w:line="317" w:lineRule="exact"/>
        <w:ind w:firstLine="560" w:left="20" w:right="20"/>
        <w:rPr>
          <w:rFonts w:ascii="Times New Roman" w:hAnsi="Times New Roman"/>
          <w:color w:val="000000"/>
          <w:sz w:val="28"/>
        </w:rPr>
      </w:pPr>
    </w:p>
    <w:p w14:paraId="29000000">
      <w:pPr>
        <w:pStyle w:val="Style_4"/>
        <w:spacing w:before="0" w:line="240" w:lineRule="auto"/>
        <w:ind w:firstLine="561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Др 2020 – 1745,8 тыс.руб.</w:t>
      </w:r>
    </w:p>
    <w:p w14:paraId="2A000000">
      <w:pPr>
        <w:pStyle w:val="Style_4"/>
        <w:spacing w:before="0" w:line="240" w:lineRule="auto"/>
        <w:ind w:firstLine="561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Др 2021 – 2539,3 тыс.руб.</w:t>
      </w:r>
    </w:p>
    <w:p w14:paraId="2B000000">
      <w:pPr>
        <w:pStyle w:val="Style_4"/>
        <w:spacing w:before="0" w:line="240" w:lineRule="auto"/>
        <w:ind w:firstLine="561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Др.2022 – 4278,1 тыс.руб.</w:t>
      </w:r>
    </w:p>
    <w:p w14:paraId="2C000000">
      <w:pPr>
        <w:spacing w:line="360" w:lineRule="auto"/>
        <w:ind/>
        <w:jc w:val="center"/>
        <w:rPr>
          <w:b w:val="1"/>
          <w:sz w:val="32"/>
        </w:rPr>
      </w:pPr>
    </w:p>
    <w:sectPr>
      <w:headerReference r:id="rId1" w:type="default"/>
      <w:pgSz w:h="16838" w:orient="portrait" w:w="11906"/>
      <w:pgMar w:bottom="1134" w:footer="709" w:gutter="0" w:header="709" w:left="1985" w:right="113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rFonts w:ascii="Times New Roman" w:hAnsi="Times New Roman"/>
    </w:rPr>
  </w:style>
  <w:style w:default="1" w:styleId="Style_5_ch" w:type="character">
    <w:name w:val="Normal"/>
    <w:link w:val="Style_5"/>
    <w:rPr>
      <w:rFonts w:ascii="Times New Roman" w:hAnsi="Times New Roman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4" w:type="paragraph">
    <w:name w:val="Основной текст3"/>
    <w:basedOn w:val="Style_5"/>
    <w:link w:val="Style_4_ch"/>
    <w:pPr>
      <w:widowControl w:val="0"/>
      <w:spacing w:before="300" w:line="322" w:lineRule="exact"/>
      <w:ind w:hanging="160" w:left="160"/>
      <w:jc w:val="both"/>
    </w:pPr>
    <w:rPr>
      <w:rFonts w:ascii="Calibri" w:hAnsi="Calibri"/>
      <w:spacing w:val="1"/>
    </w:rPr>
  </w:style>
  <w:style w:styleId="Style_4_ch" w:type="character">
    <w:name w:val="Основной текст3"/>
    <w:basedOn w:val="Style_5_ch"/>
    <w:link w:val="Style_4"/>
    <w:rPr>
      <w:rFonts w:ascii="Calibri" w:hAnsi="Calibri"/>
      <w:spacing w:val="1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2" w:type="paragraph">
    <w:name w:val="Body Text"/>
    <w:basedOn w:val="Style_5"/>
    <w:link w:val="Style_2_ch"/>
    <w:pPr>
      <w:ind/>
      <w:jc w:val="both"/>
    </w:pPr>
    <w:rPr>
      <w:sz w:val="24"/>
    </w:rPr>
  </w:style>
  <w:style w:styleId="Style_2_ch" w:type="character">
    <w:name w:val="Body Text"/>
    <w:basedOn w:val="Style_5_ch"/>
    <w:link w:val="Style_2"/>
    <w:rPr>
      <w:sz w:val="24"/>
    </w:rPr>
  </w:style>
  <w:style w:styleId="Style_13" w:type="paragraph">
    <w:name w:val="List Paragraph"/>
    <w:basedOn w:val="Style_5"/>
    <w:link w:val="Style_13_ch"/>
    <w:pPr>
      <w:ind w:firstLine="0" w:left="720"/>
      <w:contextualSpacing w:val="1"/>
    </w:pPr>
  </w:style>
  <w:style w:styleId="Style_13_ch" w:type="character">
    <w:name w:val="List Paragraph"/>
    <w:basedOn w:val="Style_5_ch"/>
    <w:link w:val="Style_13"/>
  </w:style>
  <w:style w:styleId="Style_14" w:type="paragraph">
    <w:name w:val="Normal (Web)"/>
    <w:basedOn w:val="Style_5"/>
    <w:link w:val="Style_14_ch"/>
    <w:pPr>
      <w:spacing w:afterAutospacing="on" w:beforeAutospacing="on"/>
      <w:ind/>
    </w:pPr>
    <w:rPr>
      <w:sz w:val="24"/>
    </w:rPr>
  </w:style>
  <w:style w:styleId="Style_14_ch" w:type="character">
    <w:name w:val="Normal (Web)"/>
    <w:basedOn w:val="Style_5_ch"/>
    <w:link w:val="Style_14"/>
    <w:rPr>
      <w:sz w:val="24"/>
    </w:rPr>
  </w:style>
  <w:style w:styleId="Style_15" w:type="paragraph">
    <w:name w:val="heading 5"/>
    <w:basedOn w:val="Style_5"/>
    <w:next w:val="Style_5"/>
    <w:link w:val="Style_15_ch"/>
    <w:uiPriority w:val="9"/>
    <w:qFormat/>
    <w:pPr>
      <w:keepNext w:val="1"/>
      <w:spacing w:before="120"/>
      <w:ind/>
      <w:jc w:val="center"/>
      <w:outlineLvl w:val="4"/>
    </w:pPr>
    <w:rPr>
      <w:b w:val="1"/>
      <w:sz w:val="28"/>
    </w:rPr>
  </w:style>
  <w:style w:styleId="Style_15_ch" w:type="character">
    <w:name w:val="heading 5"/>
    <w:basedOn w:val="Style_5_ch"/>
    <w:link w:val="Style_15"/>
    <w:rPr>
      <w:b w:val="1"/>
      <w:sz w:val="28"/>
    </w:rPr>
  </w:style>
  <w:style w:styleId="Style_16" w:type="paragraph">
    <w:name w:val="Iau?iue"/>
    <w:link w:val="Style_16_ch"/>
    <w:rPr>
      <w:rFonts w:ascii="Times New Roman" w:hAnsi="Times New Roman"/>
    </w:rPr>
  </w:style>
  <w:style w:styleId="Style_16_ch" w:type="character">
    <w:name w:val="Iau?iue"/>
    <w:link w:val="Style_16"/>
    <w:rPr>
      <w:rFonts w:ascii="Times New Roman" w:hAnsi="Times New Roman"/>
    </w:rPr>
  </w:style>
  <w:style w:styleId="Style_17" w:type="paragraph">
    <w:name w:val="heading 1"/>
    <w:next w:val="Style_5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none"/>
    </w:rPr>
  </w:style>
  <w:style w:styleId="Style_18_ch" w:type="character">
    <w:name w:val="Hyperlink"/>
    <w:link w:val="Style_18"/>
    <w:rPr>
      <w:color w:val="0000FF"/>
      <w:u w:val="non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5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Balloon Text"/>
    <w:basedOn w:val="Style_5"/>
    <w:link w:val="Style_22_ch"/>
    <w:rPr>
      <w:rFonts w:ascii="Segoe UI" w:hAnsi="Segoe UI"/>
      <w:sz w:val="18"/>
    </w:rPr>
  </w:style>
  <w:style w:styleId="Style_22_ch" w:type="character">
    <w:name w:val="Balloon Text"/>
    <w:basedOn w:val="Style_5_ch"/>
    <w:link w:val="Style_22"/>
    <w:rPr>
      <w:rFonts w:ascii="Segoe UI" w:hAnsi="Segoe UI"/>
      <w:sz w:val="18"/>
    </w:rPr>
  </w:style>
  <w:style w:styleId="Style_23" w:type="paragraph">
    <w:name w:val="toc 9"/>
    <w:next w:val="Style_5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5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toc 5"/>
    <w:next w:val="Style_5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ConsPlusNormal"/>
    <w:link w:val="Style_27_ch"/>
    <w:pPr>
      <w:widowControl w:val="0"/>
      <w:ind/>
    </w:pPr>
    <w:rPr>
      <w:sz w:val="22"/>
    </w:rPr>
  </w:style>
  <w:style w:styleId="Style_27_ch" w:type="character">
    <w:name w:val="ConsPlusNormal"/>
    <w:link w:val="Style_27"/>
    <w:rPr>
      <w:sz w:val="22"/>
    </w:rPr>
  </w:style>
  <w:style w:styleId="Style_28" w:type="paragraph">
    <w:name w:val="Subtitle"/>
    <w:next w:val="Style_5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ConsPlusTitle"/>
    <w:link w:val="Style_29_ch"/>
    <w:pPr>
      <w:widowControl w:val="0"/>
      <w:ind/>
    </w:pPr>
    <w:rPr>
      <w:b w:val="1"/>
      <w:sz w:val="22"/>
    </w:rPr>
  </w:style>
  <w:style w:styleId="Style_29_ch" w:type="character">
    <w:name w:val="ConsPlusTitle"/>
    <w:link w:val="Style_29"/>
    <w:rPr>
      <w:b w:val="1"/>
      <w:sz w:val="22"/>
    </w:rPr>
  </w:style>
  <w:style w:styleId="Style_30" w:type="paragraph">
    <w:name w:val="Title"/>
    <w:next w:val="Style_5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basedOn w:val="Style_5"/>
    <w:next w:val="Style_5"/>
    <w:link w:val="Style_31_ch"/>
    <w:uiPriority w:val="9"/>
    <w:qFormat/>
    <w:pPr>
      <w:keepNext w:val="1"/>
      <w:ind/>
      <w:jc w:val="center"/>
      <w:outlineLvl w:val="3"/>
    </w:pPr>
    <w:rPr>
      <w:b w:val="1"/>
      <w:sz w:val="36"/>
    </w:rPr>
  </w:style>
  <w:style w:styleId="Style_31_ch" w:type="character">
    <w:name w:val="heading 4"/>
    <w:basedOn w:val="Style_5_ch"/>
    <w:link w:val="Style_31"/>
    <w:rPr>
      <w:b w:val="1"/>
      <w:sz w:val="36"/>
    </w:rPr>
  </w:style>
  <w:style w:styleId="Style_32" w:type="paragraph">
    <w:name w:val="heading 2"/>
    <w:next w:val="Style_5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3" w:type="paragraph">
    <w:name w:val="footer"/>
    <w:basedOn w:val="Style_5"/>
    <w:link w:val="Style_33_ch"/>
    <w:pPr>
      <w:tabs>
        <w:tab w:leader="none" w:pos="4677" w:val="center"/>
        <w:tab w:leader="none" w:pos="9355" w:val="right"/>
      </w:tabs>
      <w:ind/>
    </w:pPr>
  </w:style>
  <w:style w:styleId="Style_33_ch" w:type="character">
    <w:name w:val="footer"/>
    <w:basedOn w:val="Style_5_ch"/>
    <w:link w:val="Style_33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2024-08-02T08:04:24Z</dcterms:modified>
</cp:coreProperties>
</file>