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1"/>
        <w:spacing w:after="0"/>
        <w:ind w:left="56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</w:t>
      </w:r>
    </w:p>
    <w:p w14:paraId="04000000">
      <w:pPr>
        <w:widowControl w:val="1"/>
        <w:spacing w:after="0" w:line="240" w:lineRule="auto"/>
        <w:ind w:left="56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решению Совета народных депутатов Крапивинского муниципального округа </w:t>
      </w:r>
    </w:p>
    <w:p w14:paraId="05000000">
      <w:pPr>
        <w:widowControl w:val="1"/>
        <w:spacing w:after="0" w:line="240" w:lineRule="auto"/>
        <w:ind w:left="56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 xml:space="preserve">19.02.2025 </w:t>
      </w:r>
      <w:r>
        <w:rPr>
          <w:rFonts w:ascii="Times New Roman" w:hAnsi="Times New Roman"/>
          <w:sz w:val="24"/>
        </w:rPr>
        <w:t xml:space="preserve">№ </w:t>
      </w:r>
      <w:r>
        <w:rPr>
          <w:rFonts w:ascii="Times New Roman" w:hAnsi="Times New Roman"/>
          <w:sz w:val="24"/>
        </w:rPr>
        <w:t>36</w:t>
      </w:r>
    </w:p>
    <w:p w14:paraId="06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7000000">
      <w:pPr>
        <w:pStyle w:val="Style_2"/>
        <w:widowControl w:val="1"/>
        <w:spacing w:line="276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Отчет </w:t>
      </w:r>
    </w:p>
    <w:p w14:paraId="08000000">
      <w:pPr>
        <w:pStyle w:val="Style_2"/>
        <w:widowControl w:val="1"/>
        <w:spacing w:line="276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 деятельности контрольно-счетного органа </w:t>
      </w:r>
    </w:p>
    <w:p w14:paraId="09000000">
      <w:pPr>
        <w:pStyle w:val="Style_2"/>
        <w:widowControl w:val="1"/>
        <w:spacing w:line="276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Крапивинского муниципального округа за 2024 год</w:t>
      </w:r>
    </w:p>
    <w:p w14:paraId="0A000000">
      <w:pPr>
        <w:pStyle w:val="Style_2"/>
        <w:widowControl w:val="1"/>
        <w:spacing w:before="240"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Отчет подготовлен в соответствии с требованиями статьи 19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 и основан на результатах деятельности контрольно-счетного органа Крапивинского муниципального округа (далее по тексту – контрольно-счетный орган) в 2024 году.</w:t>
      </w:r>
    </w:p>
    <w:p w14:paraId="0B000000">
      <w:pPr>
        <w:pStyle w:val="Style_2"/>
        <w:widowControl w:val="1"/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Отчет является одной из форм реализации принципа гласности и подлежит размещению на официальном сайте администрации Крапивинского муниципального округа.</w:t>
      </w:r>
    </w:p>
    <w:p w14:paraId="0C000000">
      <w:pPr>
        <w:pStyle w:val="Style_2"/>
        <w:widowControl w:val="1"/>
        <w:numPr>
          <w:ilvl w:val="0"/>
          <w:numId w:val="1"/>
        </w:numPr>
        <w:spacing w:after="120" w:before="120" w:line="276" w:lineRule="auto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Основные направления деятельности контрольно-счетного органа Крапивинского муниципального округа в 2024 году</w:t>
      </w:r>
    </w:p>
    <w:p w14:paraId="0D000000">
      <w:pPr>
        <w:pStyle w:val="Style_2"/>
        <w:widowControl w:val="1"/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Контрольно-счетный орган осуществляет деятельность в соответствии с Конституцией Российской Федерации, федеральными законами и иными правовыми правовыми актами Российской Федерации, законами и иными правовыми актами Кемеровской области-Кузбасса, Уставом Крапивинского муниципального округа Кемеровской области-Кузбасса, Положением о контрольно-счетном органе Крапивинского муниципального округа, утвержденным решением Совета народных депутатов Крапивинского муниципального округа от 08.11.2021 №281 «О контрольно-счетном органе Крапивинского муниципального округа».</w:t>
      </w:r>
    </w:p>
    <w:p w14:paraId="0E000000">
      <w:pPr>
        <w:pStyle w:val="Style_2"/>
        <w:widowControl w:val="1"/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Положением о контрольно-счетном органе определено, что контрольно-счетный орган является постоянно действующим органом внешнего муниципального финансового контроля, образуется Советом народных депутатов Крапивинского муниципального округа и ему подотчетен.</w:t>
      </w:r>
    </w:p>
    <w:p w14:paraId="0F000000">
      <w:pPr>
        <w:widowControl w:val="1"/>
        <w:spacing w:after="12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отчетном периоде контрольно-счетным органом обеспечивалась реализация целей и задач, возложенных на него Положением о контрольно-счетном органе Крапивинского муниципального округа. Проводимые мероприятия составляли единую систему контроля за формированием бюджета округа; предотвращением финансовых нарушений при проведении экспертно-аналитических мероприятий и их выявлением при проведении контрольных мероприятий.</w:t>
      </w:r>
    </w:p>
    <w:p w14:paraId="10000000">
      <w:pPr>
        <w:pStyle w:val="Style_3"/>
        <w:widowControl w:val="1"/>
        <w:spacing w:after="0" w:line="276" w:lineRule="auto"/>
        <w:ind w:firstLine="567"/>
        <w:contextualSpacing w:val="1"/>
        <w:jc w:val="both"/>
        <w:rPr>
          <w:sz w:val="28"/>
        </w:rPr>
      </w:pPr>
      <w:r>
        <w:rPr>
          <w:sz w:val="28"/>
        </w:rPr>
        <w:t xml:space="preserve">План работы на 2024 год сформированный с учетом направлений деятельности контрольно-счетного органа согласован с администрацией Крапивинского муниципального округа и Советом народных депутатов Крапивинского муниципального округа. </w:t>
      </w:r>
    </w:p>
    <w:p w14:paraId="11000000">
      <w:pPr>
        <w:pStyle w:val="Style_2"/>
        <w:widowControl w:val="1"/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 работы исполнен в полном объеме. Исполнение плана позволило рассмотреть и проанализировать различные вопросы при предварительном, текущем и последующем контроле при формировании и исполнении местных бюджетов, выявить нарушения и недостатки при использовании бюджетных средств, а также принять необходимые меры для устранения нарушений.</w:t>
      </w:r>
    </w:p>
    <w:p w14:paraId="12000000">
      <w:pPr>
        <w:pStyle w:val="Style_2"/>
        <w:widowControl w:val="1"/>
        <w:numPr>
          <w:ilvl w:val="0"/>
          <w:numId w:val="1"/>
        </w:numPr>
        <w:spacing w:after="120" w:before="120" w:line="276" w:lineRule="auto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Экспертно-аналитическая и контрольная деятельность</w:t>
      </w:r>
    </w:p>
    <w:p w14:paraId="13000000">
      <w:pPr>
        <w:pStyle w:val="Style_2"/>
        <w:widowControl w:val="1"/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Экспертно-аналитические мероприятия осуществлялись в рамках предварительного и последующего контроля. </w:t>
      </w:r>
    </w:p>
    <w:p w14:paraId="14000000">
      <w:pPr>
        <w:pStyle w:val="Style_2"/>
        <w:widowControl w:val="1"/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стадии предварительного контроля осуществлялась экспертиза проекта бюджета Крапивинского муниципального округа на 2025 год и плановый период 2026-2027 годов. По итогам проведения экспертизы подготовлено экспертное заключение по вопросам законности и полноты отражения доходов в доходной части бюджета, обоснованности запланированных ассигнований для исполнения расходных обязательств, сбалансированности бюджета, соответствия бюджетному законодательству Российской Федерации.</w:t>
      </w:r>
    </w:p>
    <w:p w14:paraId="15000000">
      <w:pPr>
        <w:pStyle w:val="Style_2"/>
        <w:widowControl w:val="1"/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решения был рекомендован Совету народных депутатов Крапивинского муниципального округа к принятию.</w:t>
      </w:r>
    </w:p>
    <w:p w14:paraId="16000000">
      <w:pPr>
        <w:pStyle w:val="Style_2"/>
        <w:widowControl w:val="1"/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стадии последующего контроля подготовлено заключение о результатах внешней проверки годового отчета Крапивинского муниципального округа за 2023 год, в котором проанализировано фактическое исполнение доходных и расходных статей бюджета муниципального образования по объему и структуре.</w:t>
      </w:r>
    </w:p>
    <w:p w14:paraId="17000000">
      <w:pPr>
        <w:pStyle w:val="Style_2"/>
        <w:widowControl w:val="1"/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Отчет об исполнении бюджета за 2023 год подготовлен в соответствии с требованиями Бюджетного Кодекса Российской Федерации и удовлетворяет требованиям полноты отражения средств бюджетов по доходам, расходам и источникам финансирования дефицита.</w:t>
      </w:r>
    </w:p>
    <w:p w14:paraId="18000000">
      <w:pPr>
        <w:pStyle w:val="Style_2"/>
        <w:widowControl w:val="1"/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 Мониторинг исполнения бюджета Крапивинского муниципального округа за первый, второй и третий квартал 2024 года, бюджет Крапивинского муниципального округа исполнен в соответствии с требованиями и нормами действующего бюджетного  законодательства и нормативными правовыми актами Крапивинского муниципального округа.</w:t>
      </w:r>
    </w:p>
    <w:p w14:paraId="19000000">
      <w:pPr>
        <w:pStyle w:val="Style_2"/>
        <w:widowControl w:val="1"/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Контрольные мероприятия контрольно-счетного органа осуществлялись с целью контроля за целевым, эффективным и правомерным расходованием бюджетных средств, соблюдением порядка управления и распоряжения муниципальным имуществом с элементами проведения аудита в сфере закупок для муниципальных нужд,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14:paraId="1A000000">
      <w:pPr>
        <w:pStyle w:val="Style_2"/>
        <w:widowControl w:val="1"/>
        <w:spacing w:after="120"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течение 2024 года в рамках контрольно-ревизионной деятельности проведены следующие проверки:</w:t>
      </w:r>
    </w:p>
    <w:p w14:paraId="1B000000">
      <w:pPr>
        <w:widowControl w:val="0"/>
        <w:spacing w:after="12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Объект проверки – финансовое управление администрации Крапивинского муниципального округа</w:t>
      </w:r>
    </w:p>
    <w:p w14:paraId="1C000000">
      <w:pPr>
        <w:widowControl w:val="0"/>
        <w:spacing w:after="120" w:before="120"/>
        <w:ind w:firstLine="709"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Тема контрольного мероприятия: проверка финансово – хозяйственной деятельности и имущества,  находящегося в оперативном управлении, финансового управления администрации Крапивинского муниципального округа за 2023 год. </w:t>
      </w:r>
    </w:p>
    <w:p w14:paraId="1D000000">
      <w:pPr>
        <w:widowControl w:val="0"/>
        <w:spacing w:after="120" w:before="120"/>
        <w:ind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Выявленные нарушения устранены в ходе проверки.</w:t>
      </w:r>
    </w:p>
    <w:p w14:paraId="1E000000">
      <w:pPr>
        <w:widowControl w:val="0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Объект проверки – Управление по жизнеобеспечению и строительству администрации Крапивинского муниципального округа</w:t>
      </w:r>
    </w:p>
    <w:p w14:paraId="1F000000">
      <w:pPr>
        <w:widowControl w:val="0"/>
        <w:spacing w:after="120" w:before="120"/>
        <w:ind w:firstLine="709"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Тема контрольного мероприятия: проверка финансово – хозяйственной деятельности муниципального казенного учреждения  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«Управление по жизнеобеспечению и строительству администрации </w:t>
      </w:r>
      <w:r>
        <w:rPr>
          <w:rFonts w:ascii="Times New Roman" w:hAnsi="Times New Roman"/>
          <w:sz w:val="28"/>
        </w:rPr>
        <w:t xml:space="preserve">Крапивинского муниципального округа за 2023 год и 9 мес.2024 года. </w:t>
      </w:r>
    </w:p>
    <w:p w14:paraId="20000000">
      <w:pPr>
        <w:widowControl w:val="0"/>
        <w:spacing w:after="120"/>
        <w:ind w:left="567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>Выявленные нарушения устранены в ходе проверки.</w:t>
      </w:r>
    </w:p>
    <w:p w14:paraId="21000000">
      <w:pPr>
        <w:widowControl w:val="0"/>
        <w:spacing w:after="120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Объект проверки - управление образования администрации Крапивинского муниципального округа </w:t>
      </w:r>
    </w:p>
    <w:p w14:paraId="22000000">
      <w:pPr>
        <w:widowControl w:val="0"/>
        <w:spacing w:after="12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Тема контрольного мероприятия: контроль использования бюджетных средств на организацию питания в общеобразовательных учреждениях и дошкольных учреждениях  Крапивинского муниципального округа. </w:t>
      </w:r>
    </w:p>
    <w:p w14:paraId="23000000">
      <w:pPr>
        <w:widowControl w:val="0"/>
        <w:spacing w:after="12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проверки выявлено, что все денежные средства направленные на организацию питания в общеобразовательные и дошкольные учреждения использованы на приобретение продуктов питания, нецелевого использования денежных средств не обнаружено.</w:t>
      </w:r>
    </w:p>
    <w:p w14:paraId="24000000">
      <w:pPr>
        <w:widowControl w:val="0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Выявлены недостатки в организации питания в общеобразовательных учреждениях и дошкольных учреждениях  Крапивинского муниципального округа:</w:t>
      </w:r>
    </w:p>
    <w:p w14:paraId="25000000">
      <w:pPr>
        <w:widowControl w:val="1"/>
        <w:numPr>
          <w:ilvl w:val="0"/>
          <w:numId w:val="2"/>
        </w:numPr>
        <w:spacing w:after="0"/>
        <w:ind w:firstLine="0" w:left="0" w:right="3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приложениях к контрактам на оказание услуг по обеспечению горячим питанием учащихся не прикладывался расчет стоимости услуг (ООО Лада – необходимое количество персонала, сумма фонда оплаты труда с начислениями) и требования к качеству оказания услуг по организации питания не соответствуют действующим НПА (СП и СанПиН);</w:t>
      </w:r>
    </w:p>
    <w:p w14:paraId="26000000">
      <w:pPr>
        <w:widowControl w:val="1"/>
        <w:numPr>
          <w:ilvl w:val="0"/>
          <w:numId w:val="2"/>
        </w:numPr>
        <w:spacing w:after="0"/>
        <w:ind w:firstLine="0" w:left="0" w:right="3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осуществлялся контроль за нормированием закупок продуктов питания (обоснование закупок) по контрактам с ИП Петросян АА;</w:t>
      </w:r>
    </w:p>
    <w:p w14:paraId="27000000">
      <w:pPr>
        <w:widowControl w:val="1"/>
        <w:numPr>
          <w:ilvl w:val="0"/>
          <w:numId w:val="2"/>
        </w:numPr>
        <w:spacing w:after="0"/>
        <w:ind w:firstLine="0" w:left="0" w:right="3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учетной политике отсутствуют единые утвержденные правила по заполнению меню-требования;</w:t>
      </w:r>
    </w:p>
    <w:p w14:paraId="28000000">
      <w:pPr>
        <w:widowControl w:val="1"/>
        <w:numPr>
          <w:ilvl w:val="0"/>
          <w:numId w:val="2"/>
        </w:numPr>
        <w:spacing w:after="0"/>
        <w:ind w:firstLine="0" w:left="0" w:right="3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отсутствует надлежащий контроль списания продуктов питания в соответствии с установленными нормативами ;</w:t>
      </w:r>
    </w:p>
    <w:p w14:paraId="29000000">
      <w:pPr>
        <w:widowControl w:val="1"/>
        <w:numPr>
          <w:ilvl w:val="0"/>
          <w:numId w:val="2"/>
        </w:numPr>
        <w:spacing w:after="0"/>
        <w:ind w:firstLine="0" w:left="0" w:right="3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и периодичность проведения инвентаризации продуктов питания не указан в учетной политике;</w:t>
      </w:r>
    </w:p>
    <w:p w14:paraId="2A000000">
      <w:pPr>
        <w:widowControl w:val="1"/>
        <w:numPr>
          <w:ilvl w:val="0"/>
          <w:numId w:val="2"/>
        </w:numPr>
        <w:spacing w:after="0"/>
        <w:ind w:firstLine="0" w:left="0" w:right="34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отсутствует нормативный правовой акт об установлении норматива питания на одного воспитанника в дошкольных учебных заведениях за счет бюджета Крапивинского муниципального округа.</w:t>
      </w:r>
    </w:p>
    <w:p w14:paraId="2B000000">
      <w:pPr>
        <w:widowControl w:val="0"/>
        <w:spacing w:after="12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итогам контрольного мероприятия управлению образования Крапивинского муниципального округа выдано представление об устранении нарушений.</w:t>
      </w:r>
    </w:p>
    <w:p w14:paraId="2C000000">
      <w:pPr>
        <w:pStyle w:val="Style_2"/>
        <w:widowControl w:val="1"/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результатам контрольных мероприятий были подготовлены 3 акта проверок, направлено 1 представление.</w:t>
      </w:r>
    </w:p>
    <w:p w14:paraId="2D000000">
      <w:pPr>
        <w:pStyle w:val="Style_2"/>
        <w:widowControl w:val="1"/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Всего объем бюджетных средств, проверенных в ходе проведения контрольных мероприятий составил в сумме 620447,0 тыс.рублей.</w:t>
      </w:r>
    </w:p>
    <w:p w14:paraId="2E000000">
      <w:pPr>
        <w:pStyle w:val="Style_2"/>
        <w:widowControl w:val="1"/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выданным предписаниям и представлениям, в установленные контрольно-счетным органом сроки, проверенными организациями предоставлены отчеты об устранении выявленных недостатков.</w:t>
      </w:r>
    </w:p>
    <w:p w14:paraId="2F000000">
      <w:pPr>
        <w:pStyle w:val="Style_4"/>
        <w:widowControl w:val="0"/>
        <w:spacing w:after="120" w:before="120"/>
        <w:ind w:left="709"/>
        <w:jc w:val="center"/>
        <w:rPr>
          <w:rFonts w:ascii="Times New Roman" w:hAnsi="Times New Roman"/>
          <w:b w:val="1"/>
          <w:sz w:val="28"/>
        </w:rPr>
      </w:pPr>
    </w:p>
    <w:p w14:paraId="30000000">
      <w:pPr>
        <w:pStyle w:val="Style_4"/>
        <w:widowControl w:val="0"/>
        <w:spacing w:after="120" w:before="120"/>
        <w:ind w:left="709"/>
        <w:jc w:val="center"/>
        <w:rPr>
          <w:rFonts w:ascii="Times New Roman" w:hAnsi="Times New Roman"/>
          <w:b w:val="1"/>
          <w:sz w:val="28"/>
        </w:rPr>
      </w:pPr>
    </w:p>
    <w:p w14:paraId="31000000">
      <w:pPr>
        <w:pStyle w:val="Style_4"/>
        <w:widowControl w:val="0"/>
        <w:spacing w:after="120" w:before="120"/>
        <w:ind w:left="709"/>
        <w:jc w:val="center"/>
        <w:rPr>
          <w:rFonts w:ascii="Times New Roman" w:hAnsi="Times New Roman"/>
          <w:b w:val="1"/>
          <w:sz w:val="28"/>
        </w:rPr>
      </w:pPr>
    </w:p>
    <w:p w14:paraId="32000000">
      <w:pPr>
        <w:pStyle w:val="Style_4"/>
        <w:widowControl w:val="0"/>
        <w:spacing w:after="120" w:before="120"/>
        <w:ind w:left="70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3. Методологическая работа </w:t>
      </w:r>
    </w:p>
    <w:p w14:paraId="33000000">
      <w:pPr>
        <w:widowControl w:val="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практического использования при анализе и формировании документов, отвечающих действующему законодательству, в 2024 году контрольно–счетным органом изучались актуальные нормативные правовые документы и опыт других контрольно-счетных органов Российской Федерации, в том числе контрольно-счетных органов Кемеровской области-Кузбасса.</w:t>
      </w:r>
    </w:p>
    <w:p w14:paraId="34000000">
      <w:pPr>
        <w:widowControl w:val="1"/>
        <w:spacing w:after="12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организации методологического обеспечения своей деятельности контрольно–счетным органом использовались обучающие материалы Союза муниципальных контрольно-счетных органов Российской Федерации. </w:t>
      </w:r>
    </w:p>
    <w:p w14:paraId="35000000">
      <w:pPr>
        <w:pStyle w:val="Style_2"/>
        <w:widowControl w:val="1"/>
        <w:spacing w:line="276" w:lineRule="auto"/>
        <w:ind w:firstLine="567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4. Организационная деятельность контрольно – счетного органа</w:t>
      </w:r>
    </w:p>
    <w:p w14:paraId="36000000">
      <w:pPr>
        <w:widowControl w:val="1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реализации принципа гласности в соответствии с требованиями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на официальном сайте администрации Крапивинского муниципального округа размещалась информация о деятельности контрольно-счетного органа Крапивинского муниципального округа.</w:t>
      </w:r>
    </w:p>
    <w:p w14:paraId="37000000">
      <w:pPr>
        <w:widowControl w:val="1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Регулярно в течение 2024 года председатель контрольно-счетного органа принимал участие:</w:t>
      </w:r>
    </w:p>
    <w:p w14:paraId="38000000">
      <w:pPr>
        <w:pStyle w:val="Style_5"/>
        <w:widowControl w:val="1"/>
        <w:spacing w:line="276" w:lineRule="auto"/>
        <w:ind w:firstLine="567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заседаниях Совета народных депутатов Крапивинского муниципального округа;</w:t>
      </w:r>
    </w:p>
    <w:p w14:paraId="39000000">
      <w:pPr>
        <w:widowControl w:val="1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публичных слушаниях, общественных обсуждениях назначенных по инициативе Совета народных депутатов Крапивинского муниципального округа.</w:t>
      </w:r>
    </w:p>
    <w:p w14:paraId="3A000000">
      <w:pPr>
        <w:widowControl w:val="1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аппаратных совещаниях главы Крапивинского муниципального округа.</w:t>
      </w:r>
    </w:p>
    <w:p w14:paraId="3B000000">
      <w:pPr>
        <w:widowControl w:val="1"/>
        <w:ind w:firstLine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Отчет о деятельности контрольно-счетного органа за 2023 год рассмотрен на сессии Совета народных депутатов Крапивинского муниципального округа в феврале 2024 года.</w:t>
      </w:r>
    </w:p>
    <w:p w14:paraId="3C000000">
      <w:pPr>
        <w:widowControl w:val="1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Положением о контрольно-счетном органе проведена работа по формированию Плана деятельности контрольно-счетного органа на 2025 год с учетом предложений главы Крапивинского муниципального округа, Совета народных депутатов Крапивинского муниципального округа.</w:t>
      </w:r>
    </w:p>
    <w:p w14:paraId="3D000000">
      <w:pPr>
        <w:pStyle w:val="Style_2"/>
        <w:widowControl w:val="1"/>
        <w:spacing w:after="120" w:before="120" w:line="276" w:lineRule="auto"/>
        <w:ind w:left="567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5. Кадровое обеспечение деятельности контрольно-счетного органа</w:t>
      </w:r>
    </w:p>
    <w:p w14:paraId="3E000000">
      <w:pPr>
        <w:pStyle w:val="Style_2"/>
        <w:widowControl w:val="1"/>
        <w:spacing w:line="276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В соответствии с решением Совета народных депутатов Крапивинского муниципального района от 26.12.2019 № 49 «Об утверждении Положения об оплате труда лиц, замещающих выборные муниципальные должности, и муниципальных служащих Крапивинского муниципального района» штатная численность контрольно-счетного органа утверждена в количестве 1 штатной единицы. Фактическая численность в 2024 году составила 1 человек - председатель контрольно-счетного органа.</w:t>
      </w:r>
    </w:p>
    <w:p w14:paraId="3F000000">
      <w:pPr>
        <w:widowControl w:val="1"/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Одним из важных направлений в деятельности контрольно-счетного органа является повышение эффективности и качества внешнего муниципального финансового контроля. Повышение эффективности деятельности контрольно-счетного органа достигается посредством проведения комплексной работы по повышению уровня профессиональной компетенции кадрового состава, мотивации сотрудников и обеспечение условий для улучшения результативности их профессиональной служебной деятельности.</w:t>
      </w:r>
    </w:p>
    <w:p w14:paraId="40000000">
      <w:pPr>
        <w:pStyle w:val="Style_2"/>
        <w:widowControl w:val="1"/>
        <w:spacing w:after="120"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повышения квалификации и актуализации знаний и навыков председатель контрольно-счетного органа постоянно принимает участие в обучающих мероприятиях Союза контрольно-счетных органов.</w:t>
      </w:r>
    </w:p>
    <w:p w14:paraId="41000000">
      <w:pPr>
        <w:pStyle w:val="Style_2"/>
        <w:widowControl w:val="1"/>
        <w:spacing w:after="120" w:line="276" w:lineRule="auto"/>
        <w:ind w:firstLine="567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6. Материально - техническое обеспечение и бухгалтерский учет</w:t>
      </w:r>
    </w:p>
    <w:p w14:paraId="42000000">
      <w:pPr>
        <w:pStyle w:val="Style_2"/>
        <w:widowControl w:val="1"/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Ведение кадровой работы в соответствии с требованием действующего законодательства.</w:t>
      </w:r>
    </w:p>
    <w:p w14:paraId="43000000">
      <w:pPr>
        <w:pStyle w:val="Style_2"/>
        <w:widowControl w:val="1"/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Подготовка и исполнение сметы расходов реестра расходных обязательств.</w:t>
      </w:r>
    </w:p>
    <w:p w14:paraId="44000000">
      <w:pPr>
        <w:pStyle w:val="Style_2"/>
        <w:widowControl w:val="1"/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Составление и представление в установленные сроки бюджетной и налоговой отчетности.</w:t>
      </w:r>
    </w:p>
    <w:p w14:paraId="45000000">
      <w:pPr>
        <w:pStyle w:val="Style_2"/>
        <w:widowControl w:val="1"/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Осуществление закупок товаров, работ и услуг для нужд контрольно–счетного органа.</w:t>
      </w:r>
    </w:p>
    <w:p w14:paraId="46000000">
      <w:pPr>
        <w:pStyle w:val="Style_2"/>
        <w:widowControl w:val="1"/>
        <w:spacing w:after="120"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Ведение бухгалтерской работы и архива контрольно-счетного органа.</w:t>
      </w:r>
    </w:p>
    <w:p w14:paraId="47000000">
      <w:pPr>
        <w:pStyle w:val="Style_2"/>
        <w:widowControl w:val="1"/>
        <w:spacing w:line="276" w:lineRule="auto"/>
        <w:ind w:firstLine="567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7. Иные мероприятия, проводимые Контрольно – счетным органом</w:t>
      </w:r>
    </w:p>
    <w:p w14:paraId="48000000">
      <w:pPr>
        <w:widowControl w:val="1"/>
        <w:spacing w:afterAutospacing="on" w:beforeAutospacing="on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Деятельность по противодействию коррупции в течение 2024 года заключалась в реализация плана антикоррупционных мероприятий непосредственно контрольно-счетным органом. В рамках реализации плана антикоррупционных мероприятий на 2024 год председателем контрольно-счетного органа предоставлена справка о доходах, расходах, имуществе и обязательствах имущественного характера муниципальных служащих и членов их семей, на предмет отсутствия нарушений законодательства о муниципальной службе и противодействия коррупции.</w:t>
      </w:r>
    </w:p>
    <w:p w14:paraId="49000000">
      <w:pPr>
        <w:pStyle w:val="Style_2"/>
        <w:widowControl w:val="1"/>
        <w:spacing w:after="120" w:before="240" w:line="276" w:lineRule="auto"/>
        <w:ind w:firstLine="786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8. Основные направления деятельности контрольно-счетного органа на 2025год</w:t>
      </w:r>
    </w:p>
    <w:p w14:paraId="4A000000">
      <w:pPr>
        <w:pStyle w:val="Style_2"/>
        <w:widowControl w:val="1"/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Приоритетным направлением деятельности контрольно-счетного органа в 2025 году является осуществление комплекса контрольных и экспертно-аналитических мероприятий, обеспечивающих реализацию задач и функций, возложенных на контрольно-счетный орган.</w:t>
      </w:r>
    </w:p>
    <w:p w14:paraId="4B000000">
      <w:pPr>
        <w:pStyle w:val="Style_2"/>
        <w:widowControl w:val="1"/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числе главных задач остается обеспечение и дальнейшее развитие единой системы предварительного, оперативного и последующего контроля по формированию и использованию средств бюджета Крапивинского муниципального округа.</w:t>
      </w:r>
    </w:p>
    <w:p w14:paraId="4C000000">
      <w:pPr>
        <w:pStyle w:val="Style_2"/>
        <w:widowControl w:val="1"/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задачами, поставленными бюджетным законодательством особое внимание в 2025 году будет направлено на проведение комплекса проверок по муниципальному имуществу, по отдельным муниципальным целевым программам, по соблюдению</w:t>
      </w:r>
      <w:r>
        <w:rPr>
          <w:rFonts w:ascii="Times New Roman" w:hAnsi="Times New Roman"/>
          <w:sz w:val="28"/>
        </w:rPr>
        <w:t xml:space="preserve"> бюджетного законодательства.</w:t>
      </w:r>
    </w:p>
    <w:sectPr>
      <w:headerReference r:id="rId1" w:type="default"/>
      <w:pgSz w:h="16838" w:orient="portrait" w:w="11906"/>
      <w:pgMar w:bottom="1134" w:footer="709" w:gutter="0" w:header="709" w:left="1985" w:right="1134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widowControl w:val="1"/>
        <w:ind w:hanging="360" w:left="927"/>
      </w:pPr>
    </w:lvl>
    <w:lvl w:ilvl="1">
      <w:start w:val="1"/>
      <w:numFmt w:val="decimal"/>
      <w:lvlText w:val="%1.%2."/>
      <w:lvlJc w:val="left"/>
      <w:pPr>
        <w:widowControl w:val="1"/>
        <w:ind w:hanging="720" w:left="1287"/>
      </w:pPr>
    </w:lvl>
    <w:lvl w:ilvl="2">
      <w:start w:val="1"/>
      <w:numFmt w:val="decimal"/>
      <w:lvlText w:val="%1.%2.%3."/>
      <w:lvlJc w:val="left"/>
      <w:pPr>
        <w:widowControl w:val="1"/>
        <w:ind w:hanging="720" w:left="1287"/>
      </w:pPr>
    </w:lvl>
    <w:lvl w:ilvl="3">
      <w:start w:val="1"/>
      <w:numFmt w:val="decimal"/>
      <w:lvlText w:val="%1.%2.%3.%4."/>
      <w:lvlJc w:val="left"/>
      <w:pPr>
        <w:widowControl w:val="1"/>
        <w:ind w:hanging="1080" w:left="1647"/>
      </w:pPr>
    </w:lvl>
    <w:lvl w:ilvl="4">
      <w:start w:val="1"/>
      <w:numFmt w:val="decimal"/>
      <w:lvlText w:val="%1.%2.%3.%4.%5."/>
      <w:lvlJc w:val="left"/>
      <w:pPr>
        <w:widowControl w:val="1"/>
        <w:ind w:hanging="1080" w:left="1647"/>
      </w:pPr>
    </w:lvl>
    <w:lvl w:ilvl="5">
      <w:start w:val="1"/>
      <w:numFmt w:val="decimal"/>
      <w:lvlText w:val="%1.%2.%3.%4.%5.%6."/>
      <w:lvlJc w:val="left"/>
      <w:pPr>
        <w:widowControl w:val="1"/>
        <w:ind w:hanging="1440" w:left="2007"/>
      </w:pPr>
    </w:lvl>
    <w:lvl w:ilvl="6">
      <w:start w:val="1"/>
      <w:numFmt w:val="decimal"/>
      <w:lvlText w:val="%1.%2.%3.%4.%5.%6.%7."/>
      <w:lvlJc w:val="left"/>
      <w:pPr>
        <w:widowControl w:val="1"/>
        <w:ind w:hanging="1800" w:left="2367"/>
      </w:pPr>
    </w:lvl>
    <w:lvl w:ilvl="7">
      <w:start w:val="1"/>
      <w:numFmt w:val="decimal"/>
      <w:lvlText w:val="%1.%2.%3.%4.%5.%6.%7.%8."/>
      <w:lvlJc w:val="left"/>
      <w:pPr>
        <w:widowControl w:val="1"/>
        <w:ind w:hanging="1800" w:left="2367"/>
      </w:pPr>
    </w:lvl>
    <w:lvl w:ilvl="8">
      <w:start w:val="1"/>
      <w:numFmt w:val="decimal"/>
      <w:lvlText w:val="%1.%2.%3.%4.%5.%6.%7.%8.%9."/>
      <w:lvlJc w:val="left"/>
      <w:pPr>
        <w:widowControl w:val="1"/>
        <w:ind w:hanging="2160" w:left="2727"/>
      </w:pPr>
    </w:lvl>
  </w:abstractNum>
  <w:abstractNum w:abstractNumId="1">
    <w:lvl w:ilvl="0">
      <w:start w:val="0"/>
      <w:numFmt w:val="bullet"/>
      <w:lvlText w:val="-"/>
      <w:lvlJc w:val="left"/>
      <w:pPr>
        <w:widowControl w:val="1"/>
        <w:ind w:hanging="360" w:left="72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widowControl w:val="1"/>
        <w:ind w:hanging="360" w:left="288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widowControl w:val="1"/>
        <w:ind w:hanging="360" w:left="504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widowControl w:val="1"/>
      <w:spacing w:after="200" w:line="276" w:lineRule="auto"/>
      <w:ind/>
    </w:pPr>
    <w:rPr>
      <w:sz w:val="22"/>
    </w:rPr>
  </w:style>
  <w:style w:default="1" w:styleId="Style_6_ch" w:type="character">
    <w:name w:val="Normal"/>
    <w:link w:val="Style_6"/>
    <w:rPr>
      <w:sz w:val="22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5" w:type="paragraph">
    <w:name w:val="ConsNormal"/>
    <w:link w:val="Style_5_ch"/>
    <w:pPr>
      <w:widowControl w:val="0"/>
      <w:ind w:firstLine="720" w:right="19772"/>
    </w:pPr>
    <w:rPr>
      <w:rFonts w:ascii="Arial" w:hAnsi="Arial"/>
    </w:rPr>
  </w:style>
  <w:style w:styleId="Style_5_ch" w:type="character">
    <w:name w:val="ConsNormal"/>
    <w:link w:val="Style_5"/>
    <w:rPr>
      <w:rFonts w:ascii="Arial" w:hAnsi="Arial"/>
    </w:rPr>
  </w:style>
  <w:style w:styleId="Style_1" w:type="paragraph">
    <w:name w:val="header"/>
    <w:basedOn w:val="Style_6"/>
    <w:link w:val="Style_1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6_ch"/>
    <w:link w:val="Style_1"/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4" w:type="paragraph">
    <w:name w:val="List Paragraph"/>
    <w:basedOn w:val="Style_6"/>
    <w:link w:val="Style_4_ch"/>
    <w:pPr>
      <w:widowControl w:val="1"/>
      <w:ind w:left="720"/>
      <w:contextualSpacing w:val="1"/>
    </w:pPr>
  </w:style>
  <w:style w:styleId="Style_4_ch" w:type="character">
    <w:name w:val="List Paragraph"/>
    <w:basedOn w:val="Style_6_ch"/>
    <w:link w:val="Style_4"/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Balloon Text"/>
    <w:basedOn w:val="Style_6"/>
    <w:link w:val="Style_13_ch"/>
    <w:pPr>
      <w:widowControl w:val="1"/>
      <w:spacing w:after="0" w:line="240" w:lineRule="auto"/>
      <w:ind/>
    </w:pPr>
    <w:rPr>
      <w:rFonts w:ascii="Tahoma" w:hAnsi="Tahoma"/>
      <w:sz w:val="16"/>
    </w:rPr>
  </w:style>
  <w:style w:styleId="Style_13_ch" w:type="character">
    <w:name w:val="Balloon Text"/>
    <w:basedOn w:val="Style_6_ch"/>
    <w:link w:val="Style_13"/>
    <w:rPr>
      <w:rFonts w:ascii="Tahoma" w:hAnsi="Tahoma"/>
      <w:sz w:val="16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3" w:type="paragraph">
    <w:name w:val="Body Text"/>
    <w:basedOn w:val="Style_6"/>
    <w:link w:val="Style_3_ch"/>
    <w:pPr>
      <w:widowControl w:val="1"/>
      <w:spacing w:after="120" w:line="240" w:lineRule="auto"/>
      <w:ind/>
    </w:pPr>
    <w:rPr>
      <w:rFonts w:ascii="Times New Roman" w:hAnsi="Times New Roman"/>
      <w:color w:val="000000"/>
      <w:sz w:val="24"/>
    </w:rPr>
  </w:style>
  <w:style w:styleId="Style_3_ch" w:type="character">
    <w:name w:val="Body Text"/>
    <w:basedOn w:val="Style_6_ch"/>
    <w:link w:val="Style_3"/>
    <w:rPr>
      <w:rFonts w:ascii="Times New Roman" w:hAnsi="Times New Roman"/>
      <w:color w:val="000000"/>
      <w:sz w:val="24"/>
    </w:rPr>
  </w:style>
  <w:style w:styleId="Style_15" w:type="paragraph">
    <w:name w:val="footer"/>
    <w:basedOn w:val="Style_6"/>
    <w:link w:val="Style_15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5_ch" w:type="character">
    <w:name w:val="footer"/>
    <w:basedOn w:val="Style_6_ch"/>
    <w:link w:val="Style_15"/>
  </w:style>
  <w:style w:styleId="Style_2" w:type="paragraph">
    <w:name w:val="ConsNonformat"/>
    <w:link w:val="Style_2_ch"/>
    <w:pPr>
      <w:widowControl w:val="0"/>
      <w:ind/>
    </w:pPr>
    <w:rPr>
      <w:rFonts w:ascii="Courier New" w:hAnsi="Courier New"/>
    </w:rPr>
  </w:style>
  <w:style w:styleId="Style_2_ch" w:type="character">
    <w:name w:val="ConsNonformat"/>
    <w:link w:val="Style_2"/>
    <w:rPr>
      <w:rFonts w:ascii="Courier New" w:hAnsi="Courier New"/>
    </w:rPr>
  </w:style>
  <w:style w:styleId="Style_16" w:type="paragraph">
    <w:name w:val="toc 3"/>
    <w:next w:val="Style_6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Normal (Web)"/>
    <w:basedOn w:val="Style_6"/>
    <w:link w:val="Style_17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7_ch" w:type="character">
    <w:name w:val="Normal (Web)"/>
    <w:basedOn w:val="Style_6_ch"/>
    <w:link w:val="Style_17"/>
    <w:rPr>
      <w:rFonts w:ascii="Times New Roman" w:hAnsi="Times New Roman"/>
      <w:sz w:val="24"/>
    </w:rPr>
  </w:style>
  <w:style w:styleId="Style_18" w:type="paragraph">
    <w:name w:val="heading 5"/>
    <w:next w:val="Style_6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Основной текст1"/>
    <w:basedOn w:val="Style_6"/>
    <w:link w:val="Style_19_ch"/>
    <w:pPr>
      <w:widowControl w:val="0"/>
      <w:spacing w:after="0" w:line="252" w:lineRule="auto"/>
      <w:ind w:firstLine="400"/>
    </w:pPr>
    <w:rPr>
      <w:rFonts w:ascii="Times New Roman" w:hAnsi="Times New Roman"/>
      <w:sz w:val="17"/>
    </w:rPr>
  </w:style>
  <w:style w:styleId="Style_19_ch" w:type="character">
    <w:name w:val="Основной текст1"/>
    <w:basedOn w:val="Style_6_ch"/>
    <w:link w:val="Style_19"/>
    <w:rPr>
      <w:rFonts w:ascii="Times New Roman" w:hAnsi="Times New Roman"/>
      <w:sz w:val="17"/>
    </w:rPr>
  </w:style>
  <w:style w:styleId="Style_20" w:type="paragraph">
    <w:name w:val="heading 1"/>
    <w:next w:val="Style_6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6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8"/>
    </w:rPr>
  </w:style>
  <w:style w:styleId="Style_24_ch" w:type="character">
    <w:name w:val="Header and Footer"/>
    <w:link w:val="Style_24"/>
    <w:rPr>
      <w:rFonts w:ascii="XO Thames" w:hAnsi="XO Thames"/>
      <w:sz w:val="28"/>
    </w:rPr>
  </w:style>
  <w:style w:styleId="Style_25" w:type="paragraph">
    <w:name w:val="toc 9"/>
    <w:next w:val="Style_6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6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apple-converted-space"/>
    <w:basedOn w:val="Style_14"/>
    <w:link w:val="Style_27_ch"/>
  </w:style>
  <w:style w:styleId="Style_27_ch" w:type="character">
    <w:name w:val="apple-converted-space"/>
    <w:basedOn w:val="Style_14_ch"/>
    <w:link w:val="Style_27"/>
  </w:style>
  <w:style w:styleId="Style_28" w:type="paragraph">
    <w:name w:val="Основной текст (2)"/>
    <w:basedOn w:val="Style_6"/>
    <w:link w:val="Style_28_ch"/>
    <w:pPr>
      <w:widowControl w:val="0"/>
      <w:spacing w:after="0" w:line="240" w:lineRule="auto"/>
      <w:ind/>
      <w:jc w:val="center"/>
    </w:pPr>
    <w:rPr>
      <w:rFonts w:ascii="Times New Roman" w:hAnsi="Times New Roman"/>
      <w:sz w:val="15"/>
    </w:rPr>
  </w:style>
  <w:style w:styleId="Style_28_ch" w:type="character">
    <w:name w:val="Основной текст (2)"/>
    <w:basedOn w:val="Style_6_ch"/>
    <w:link w:val="Style_28"/>
    <w:rPr>
      <w:rFonts w:ascii="Times New Roman" w:hAnsi="Times New Roman"/>
      <w:sz w:val="15"/>
    </w:rPr>
  </w:style>
  <w:style w:styleId="Style_29" w:type="paragraph">
    <w:name w:val="toc 5"/>
    <w:next w:val="Style_6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HTML Preformatted"/>
    <w:basedOn w:val="Style_6"/>
    <w:link w:val="Style_30_ch"/>
    <w:pPr>
      <w:widowControl w:val="1"/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pacing w:after="0" w:line="240" w:lineRule="auto"/>
      <w:ind/>
    </w:pPr>
    <w:rPr>
      <w:rFonts w:ascii="Courier New" w:hAnsi="Courier New"/>
      <w:sz w:val="20"/>
    </w:rPr>
  </w:style>
  <w:style w:styleId="Style_30_ch" w:type="character">
    <w:name w:val="HTML Preformatted"/>
    <w:basedOn w:val="Style_6_ch"/>
    <w:link w:val="Style_30"/>
    <w:rPr>
      <w:rFonts w:ascii="Courier New" w:hAnsi="Courier New"/>
      <w:sz w:val="20"/>
    </w:rPr>
  </w:style>
  <w:style w:styleId="Style_31" w:type="paragraph">
    <w:name w:val="Стиль1"/>
    <w:basedOn w:val="Style_6"/>
    <w:link w:val="Style_31_ch"/>
    <w:pPr>
      <w:widowControl w:val="1"/>
      <w:spacing w:after="0" w:line="240" w:lineRule="auto"/>
      <w:ind w:hanging="142" w:right="-2"/>
    </w:pPr>
    <w:rPr>
      <w:rFonts w:ascii="Times New Roman" w:hAnsi="Times New Roman"/>
      <w:sz w:val="28"/>
    </w:rPr>
  </w:style>
  <w:style w:styleId="Style_31_ch" w:type="character">
    <w:name w:val="Стиль1"/>
    <w:basedOn w:val="Style_6_ch"/>
    <w:link w:val="Style_31"/>
    <w:rPr>
      <w:rFonts w:ascii="Times New Roman" w:hAnsi="Times New Roman"/>
      <w:sz w:val="28"/>
    </w:rPr>
  </w:style>
  <w:style w:styleId="Style_32" w:type="paragraph">
    <w:name w:val="Subtitle"/>
    <w:next w:val="Style_6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Title"/>
    <w:next w:val="Style_6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next w:val="Style_6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heading 2"/>
    <w:next w:val="Style_6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default="1" w:styleId="Style_3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2025-02-25T05:48:22Z</dcterms:created>
  <dcterms:modified xsi:type="dcterms:W3CDTF">2025-02-25T05:48:22Z</dcterms:modified>
</cp:coreProperties>
</file>