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tabs>
          <w:tab w:leader="none" w:pos="1134" w:val="left"/>
        </w:tabs>
        <w:ind w:firstLine="5387" w:left="0"/>
        <w:jc w:val="center"/>
        <w:rPr>
          <w:rFonts w:ascii="Times New Roman" w:hAnsi="Times New Roman"/>
        </w:rPr>
      </w:pPr>
      <w:bookmarkStart w:id="1" w:name="sub_56"/>
      <w:r>
        <w:rPr>
          <w:rFonts w:ascii="Times New Roman" w:hAnsi="Times New Roman"/>
        </w:rPr>
        <w:t>Приложение № 1</w:t>
      </w:r>
    </w:p>
    <w:p w14:paraId="03000000">
      <w:pPr>
        <w:widowControl w:val="1"/>
        <w:ind w:left="538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решению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Совета народных депутатов Крапивинского </w:t>
      </w:r>
      <w:r>
        <w:rPr>
          <w:rFonts w:ascii="Times New Roman" w:hAnsi="Times New Roman"/>
        </w:rPr>
        <w:t>муниципального округа</w:t>
      </w:r>
    </w:p>
    <w:p w14:paraId="04000000">
      <w:pPr>
        <w:widowControl w:val="1"/>
        <w:ind w:left="538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24.08.2026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153</w:t>
      </w:r>
    </w:p>
    <w:p w14:paraId="05000000">
      <w:pPr>
        <w:widowControl w:val="1"/>
        <w:ind w:firstLine="567"/>
        <w:jc w:val="center"/>
        <w:rPr>
          <w:rFonts w:ascii="Times New Roman" w:hAnsi="Times New Roman"/>
          <w:sz w:val="28"/>
        </w:rPr>
      </w:pPr>
    </w:p>
    <w:p w14:paraId="06000000">
      <w:pPr>
        <w:widowControl w:val="1"/>
        <w:ind w:left="567" w:right="56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Тарифы</w:t>
      </w:r>
      <w:r>
        <w:rPr>
          <w:rFonts w:ascii="Times New Roman" w:hAnsi="Times New Roman"/>
          <w:sz w:val="28"/>
        </w:rPr>
        <w:t xml:space="preserve"> на услуги</w:t>
      </w:r>
      <w:r>
        <w:rPr>
          <w:rFonts w:ascii="Times New Roman" w:hAnsi="Times New Roman"/>
          <w:sz w:val="28"/>
        </w:rPr>
        <w:t>, оказываемые</w:t>
      </w:r>
      <w:r>
        <w:rPr>
          <w:rFonts w:ascii="Times New Roman" w:hAnsi="Times New Roman"/>
          <w:sz w:val="28"/>
        </w:rPr>
        <w:t xml:space="preserve"> </w:t>
      </w:r>
    </w:p>
    <w:p w14:paraId="07000000">
      <w:pPr>
        <w:widowControl w:val="1"/>
        <w:ind w:left="851" w:right="84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муниципальным бюджетным учреждением культуры </w:t>
      </w:r>
    </w:p>
    <w:p w14:paraId="08000000">
      <w:pPr>
        <w:widowControl w:val="1"/>
        <w:ind w:left="851" w:right="84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«Клубная система Крапивинского округа»</w:t>
      </w:r>
    </w:p>
    <w:p w14:paraId="09000000">
      <w:pPr>
        <w:rPr>
          <w:rFonts w:ascii="Times New Roman" w:hAnsi="Times New Roman"/>
        </w:rPr>
      </w:pPr>
      <w:bookmarkEnd w:id="1"/>
    </w:p>
    <w:tbl>
      <w:tblPr>
        <w:tblStyle w:val="Style_3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6"/>
        <w:gridCol w:w="5844"/>
        <w:gridCol w:w="1818"/>
        <w:gridCol w:w="24"/>
        <w:gridCol w:w="1174"/>
      </w:tblGrid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услуги</w:t>
            </w:r>
          </w:p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type="dxa" w:w="1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Цена, руб.</w:t>
            </w:r>
          </w:p>
        </w:tc>
      </w:tr>
      <w:tr>
        <w:trPr>
          <w:trHeight w:hRule="atLeast" w:val="630"/>
        </w:trP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type="dxa" w:w="88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Конкурсно – развлекательные, танцевальные, игровые программы, праздничные концерты, шоу-программы, театрализованные представления, фестивали-конкурсы, выпускные вечера и т.п.:</w:t>
            </w:r>
          </w:p>
        </w:tc>
      </w:tr>
      <w:tr>
        <w:trPr>
          <w:trHeight w:hRule="atLeast" w:val="273"/>
        </w:trP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подростки от 14 лет и взрослые (сельская территория)</w:t>
            </w:r>
          </w:p>
        </w:tc>
        <w:tc>
          <w:tcPr>
            <w:tcW w:type="dxa" w:w="1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чел./час</w:t>
            </w:r>
          </w:p>
        </w:tc>
        <w:tc>
          <w:tcPr>
            <w:tcW w:type="dxa" w:w="1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120,00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подростки от 14 лет и взрослые (городская территория)</w:t>
            </w:r>
          </w:p>
        </w:tc>
        <w:tc>
          <w:tcPr>
            <w:tcW w:type="dxa" w:w="1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чел./час</w:t>
            </w:r>
          </w:p>
        </w:tc>
        <w:tc>
          <w:tcPr>
            <w:tcW w:type="dxa" w:w="1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170,00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концерт в санатории «Борисовский»</w:t>
            </w:r>
          </w:p>
        </w:tc>
        <w:tc>
          <w:tcPr>
            <w:tcW w:type="dxa" w:w="1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чел./час</w:t>
            </w:r>
          </w:p>
        </w:tc>
        <w:tc>
          <w:tcPr>
            <w:tcW w:type="dxa" w:w="1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250,00</w:t>
            </w:r>
          </w:p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type="dxa" w:w="88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Организация и проведение развлекательных мероприятий (свадьба, юбилей, день рождени</w:t>
            </w:r>
            <w:r>
              <w:rPr>
                <w:rFonts w:ascii="Times New Roman" w:hAnsi="Times New Roman"/>
                <w:b w:val="1"/>
                <w:color w:val="000000"/>
              </w:rPr>
              <w:t>я</w:t>
            </w:r>
            <w:r>
              <w:rPr>
                <w:rFonts w:ascii="Times New Roman" w:hAnsi="Times New Roman"/>
                <w:b w:val="1"/>
                <w:color w:val="000000"/>
              </w:rPr>
              <w:t>, корпоратив) с ведущим и музыкальным сопровождением (аппаратура) на территории заказчика: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городская территория</w:t>
            </w:r>
          </w:p>
        </w:tc>
        <w:tc>
          <w:tcPr>
            <w:tcW w:type="dxa" w:w="1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мероприятие</w:t>
            </w:r>
          </w:p>
        </w:tc>
        <w:tc>
          <w:tcPr>
            <w:tcW w:type="dxa" w:w="1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8 400,00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сельская территория</w:t>
            </w:r>
          </w:p>
        </w:tc>
        <w:tc>
          <w:tcPr>
            <w:tcW w:type="dxa" w:w="1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мероприятие</w:t>
            </w:r>
          </w:p>
        </w:tc>
        <w:tc>
          <w:tcPr>
            <w:tcW w:type="dxa" w:w="1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6 000,00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Проведение профессиональных праздников для предприятий, организаций, учреждений</w:t>
            </w: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1"/>
              <w:tabs>
                <w:tab w:leader="none" w:pos="1801" w:val="left"/>
              </w:tabs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мероприятие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 договору</w:t>
            </w:r>
          </w:p>
        </w:tc>
      </w:tr>
      <w:tr>
        <w:trPr>
          <w:trHeight w:hRule="atLeast" w:val="276"/>
        </w:trP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type="dxa" w:w="88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Культурно-просветительские мероприятия по программе «Пушкинская карта»: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мероприятие на территории организатора</w:t>
            </w: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чел.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300,00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выездное мероприятие</w:t>
            </w: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чел.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500,00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Организация кинопоказов, цирковых программ, шоу-программ, выступлений театральных коллективов сторонними организациями, учреждениями, индивидуальными предпринимателями </w:t>
            </w: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% от суммы валового </w:t>
            </w:r>
          </w:p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сбора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3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20 %</w:t>
            </w:r>
          </w:p>
        </w:tc>
      </w:tr>
      <w:tr>
        <w:trPr>
          <w:trHeight w:hRule="atLeast" w:val="285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Заняти</w:t>
            </w:r>
            <w:r>
              <w:rPr>
                <w:rFonts w:ascii="Times New Roman" w:hAnsi="Times New Roman"/>
                <w:b w:val="1"/>
                <w:color w:val="000000"/>
              </w:rPr>
              <w:t>е в спортивном зале</w:t>
            </w: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чел./час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>
        <w:trPr>
          <w:trHeight w:hRule="atLeast" w:val="26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Поздравление сказочного героя на территории заказчика </w:t>
            </w: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 мин./1 герой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600,00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widowControl w:val="1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Разработка индивидуального сценария</w:t>
            </w: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сценарий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5 000,00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Прокат сценического костюма и реквизита</w:t>
            </w: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ед.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600,00</w:t>
            </w:r>
          </w:p>
        </w:tc>
      </w:tr>
      <w:tr>
        <w:trPr>
          <w:trHeight w:hRule="atLeast" w:val="287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10. </w:t>
            </w:r>
          </w:p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Аренда аппаратуры (микшер, микрофон, колонка)</w:t>
            </w: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час.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1 800,00</w:t>
            </w:r>
          </w:p>
        </w:tc>
      </w:tr>
      <w:tr>
        <w:trPr>
          <w:trHeight w:hRule="atLeast" w:val="287"/>
        </w:trP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type="dxa" w:w="88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Аренда помещения:</w:t>
            </w:r>
          </w:p>
        </w:tc>
      </w:tr>
      <w:tr>
        <w:trPr>
          <w:trHeight w:hRule="atLeast" w:val="287"/>
        </w:trP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городская территория</w:t>
            </w: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час.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1 500,00</w:t>
            </w:r>
          </w:p>
        </w:tc>
      </w:tr>
      <w:tr>
        <w:trPr>
          <w:trHeight w:hRule="atLeast" w:val="287"/>
        </w:trP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сельская территория</w:t>
            </w: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час.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1 200,00</w:t>
            </w:r>
          </w:p>
        </w:tc>
      </w:tr>
    </w:tbl>
    <w:p w14:paraId="50000000">
      <w:pPr>
        <w:rPr>
          <w:rFonts w:ascii="Times New Roman" w:hAnsi="Times New Roman"/>
        </w:rPr>
      </w:pPr>
    </w:p>
    <w:p w14:paraId="51000000">
      <w:pPr>
        <w:rPr>
          <w:rFonts w:ascii="Times New Roman" w:hAnsi="Times New Roman"/>
        </w:rPr>
      </w:pPr>
    </w:p>
    <w:p w14:paraId="52000000">
      <w:pPr>
        <w:rPr>
          <w:rFonts w:ascii="Times New Roman" w:hAnsi="Times New Roman"/>
        </w:rPr>
      </w:pPr>
    </w:p>
    <w:p w14:paraId="53000000">
      <w:pPr>
        <w:rPr>
          <w:rFonts w:ascii="Times New Roman" w:hAnsi="Times New Roman"/>
        </w:rPr>
      </w:pPr>
    </w:p>
    <w:p w14:paraId="54000000">
      <w:pPr>
        <w:rPr>
          <w:rFonts w:ascii="Times New Roman" w:hAnsi="Times New Roman"/>
        </w:rPr>
      </w:pPr>
    </w:p>
    <w:p w14:paraId="55000000">
      <w:pPr>
        <w:rPr>
          <w:rFonts w:ascii="Times New Roman" w:hAnsi="Times New Roman"/>
        </w:rPr>
      </w:pPr>
    </w:p>
    <w:p w14:paraId="56000000">
      <w:pPr>
        <w:rPr>
          <w:rFonts w:ascii="Times New Roman" w:hAnsi="Times New Roman"/>
        </w:rPr>
      </w:pPr>
    </w:p>
    <w:p w14:paraId="57000000">
      <w:pPr>
        <w:rPr>
          <w:rFonts w:ascii="Times New Roman" w:hAnsi="Times New Roman"/>
        </w:rPr>
      </w:pPr>
    </w:p>
    <w:p w14:paraId="58000000">
      <w:pPr>
        <w:rPr>
          <w:rFonts w:ascii="Times New Roman" w:hAnsi="Times New Roman"/>
        </w:rPr>
      </w:pPr>
    </w:p>
    <w:tbl>
      <w:tblPr>
        <w:tblStyle w:val="Style_3"/>
        <w:tblW w:type="auto" w:w="0"/>
        <w:jc w:val="center"/>
        <w:tblInd w:type="dxa" w:w="-60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2"/>
        <w:gridCol w:w="7127"/>
        <w:gridCol w:w="1685"/>
      </w:tblGrid>
      <w:tr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7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Льготы для отдельных категорий населения</w:t>
            </w:r>
            <w:r>
              <w:rPr>
                <w:rFonts w:ascii="Times New Roman" w:hAnsi="Times New Roman"/>
                <w:b w:val="1"/>
                <w:color w:val="000000"/>
              </w:rPr>
              <w:t>*</w:t>
            </w:r>
          </w:p>
        </w:tc>
        <w:tc>
          <w:tcPr>
            <w:tcW w:type="dxa" w:w="1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Условия посещения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</w:rPr>
              <w:t>(% скидки)</w:t>
            </w:r>
          </w:p>
        </w:tc>
      </w:tr>
      <w:tr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type="dxa" w:w="7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Пенсионеры,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инвалиды I, II, III групп, дети-инвалиды, </w:t>
            </w:r>
            <w:r>
              <w:rPr>
                <w:rFonts w:ascii="Times New Roman" w:hAnsi="Times New Roman"/>
                <w:color w:val="000000"/>
                <w:highlight w:val="white"/>
              </w:rPr>
              <w:t>дети до 14 лет, студенты очной формы обучения</w:t>
            </w:r>
          </w:p>
        </w:tc>
        <w:tc>
          <w:tcPr>
            <w:tcW w:type="dxa" w:w="1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50%</w:t>
            </w:r>
          </w:p>
        </w:tc>
      </w:tr>
      <w:tr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type="dxa" w:w="7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Военнослужащие, проходящие военную службу по призыву;</w:t>
            </w:r>
          </w:p>
          <w:p w14:paraId="61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Ветераны и инвалиды ВОВ, ветераны и инвалиды боевых действий, Герои Советского Союза, Герои Российской Федерации, полные кавалеры Ордена Славы;</w:t>
            </w:r>
          </w:p>
          <w:p w14:paraId="62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Участники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специальной военной операции, а также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члены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их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семей (супруги участников специальной военной операции, дети, в том числе находящиеся под опекой (попечительством), пасынки, падчерицы участников специальной военной операции, родители участников специальной военной операции);</w:t>
            </w:r>
          </w:p>
          <w:p w14:paraId="63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Члены семей погибших (умерших) ветеранов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боевых действий, участников специальной военной операции всех категорий.</w:t>
            </w:r>
          </w:p>
        </w:tc>
        <w:tc>
          <w:tcPr>
            <w:tcW w:type="dxa" w:w="1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type="dxa" w:w="7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Лица, сопровождающие группы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(1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сопровождающий на 15 человек)</w:t>
            </w:r>
          </w:p>
        </w:tc>
        <w:tc>
          <w:tcPr>
            <w:tcW w:type="dxa" w:w="1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</w:tbl>
    <w:p w14:paraId="69000000">
      <w:pPr>
        <w:rPr>
          <w:rFonts w:ascii="Times New Roman" w:hAnsi="Times New Roman"/>
        </w:rPr>
      </w:pPr>
    </w:p>
    <w:p w14:paraId="6A000000">
      <w:pPr>
        <w:rPr>
          <w:rFonts w:ascii="Times New Roman" w:hAnsi="Times New Roman"/>
        </w:rPr>
      </w:pPr>
    </w:p>
    <w:p w14:paraId="6B000000">
      <w:pPr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Льгота предоставляется при предъявлении подтверждающего документа, </w:t>
      </w:r>
      <w:r>
        <w:rPr>
          <w:rFonts w:ascii="Times New Roman" w:hAnsi="Times New Roman"/>
        </w:rPr>
        <w:t>QR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кода с «Единого портала государственных и муниципальных услуг (функций)» «Госуслуги» или сервиса «Цифровой </w:t>
      </w:r>
      <w:r>
        <w:rPr>
          <w:rFonts w:ascii="Times New Roman" w:hAnsi="Times New Roman"/>
        </w:rPr>
        <w:t>ID</w:t>
      </w:r>
      <w:r>
        <w:rPr>
          <w:rFonts w:ascii="Times New Roman" w:hAnsi="Times New Roman"/>
        </w:rPr>
        <w:t>».</w:t>
      </w:r>
    </w:p>
    <w:p w14:paraId="6C000000">
      <w:pPr>
        <w:rPr>
          <w:rFonts w:ascii="Times New Roman" w:hAnsi="Times New Roman"/>
          <w:sz w:val="28"/>
        </w:rPr>
      </w:pPr>
    </w:p>
    <w:p w14:paraId="6D000000">
      <w:pPr>
        <w:rPr>
          <w:rFonts w:ascii="Times New Roman" w:hAnsi="Times New Roman"/>
          <w:sz w:val="28"/>
        </w:rPr>
      </w:pPr>
    </w:p>
    <w:sectPr>
      <w:headerReference r:id="rId1" w:type="default"/>
      <w:pgSz w:h="16838" w:orient="portrait" w:w="11906"/>
      <w:pgMar w:bottom="567" w:footer="709" w:gutter="0" w:header="709" w:left="1418" w:right="851" w:top="567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rFonts w:ascii="Arial" w:hAnsi="Arial"/>
      <w:sz w:val="24"/>
    </w:rPr>
  </w:style>
  <w:style w:default="1" w:styleId="Style_4_ch" w:type="character">
    <w:name w:val="Normal"/>
    <w:link w:val="Style_4"/>
    <w:rPr>
      <w:rFonts w:ascii="Arial" w:hAnsi="Arial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highlightsearch"/>
    <w:basedOn w:val="Style_7"/>
    <w:link w:val="Style_6_ch"/>
  </w:style>
  <w:style w:styleId="Style_6_ch" w:type="character">
    <w:name w:val="highlightsearch"/>
    <w:basedOn w:val="Style_7_ch"/>
    <w:link w:val="Style_6"/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Normal (Web)"/>
    <w:basedOn w:val="Style_4"/>
    <w:link w:val="Style_9_ch"/>
    <w:pPr>
      <w:widowControl w:val="1"/>
      <w:spacing w:afterAutospacing="on" w:beforeAutospacing="on"/>
      <w:ind/>
    </w:pPr>
    <w:rPr>
      <w:rFonts w:ascii="Times New Roman" w:hAnsi="Times New Roman"/>
    </w:rPr>
  </w:style>
  <w:style w:styleId="Style_9_ch" w:type="character">
    <w:name w:val="Normal (Web)"/>
    <w:basedOn w:val="Style_4_ch"/>
    <w:link w:val="Style_9"/>
    <w:rPr>
      <w:rFonts w:ascii="Times New Roman" w:hAnsi="Times New Roman"/>
    </w:rPr>
  </w:style>
  <w:style w:styleId="Style_10" w:type="paragraph">
    <w:name w:val="toc 6"/>
    <w:next w:val="Style_4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footer"/>
    <w:basedOn w:val="Style_4"/>
    <w:link w:val="Style_12_ch"/>
    <w:pPr>
      <w:widowControl w:val="1"/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4_ch"/>
    <w:link w:val="Style_12"/>
  </w:style>
  <w:style w:styleId="Style_13" w:type="paragraph">
    <w:name w:val="Balloon Text"/>
    <w:basedOn w:val="Style_4"/>
    <w:link w:val="Style_13_ch"/>
    <w:rPr>
      <w:rFonts w:ascii="Tahoma" w:hAnsi="Tahoma"/>
      <w:sz w:val="16"/>
    </w:rPr>
  </w:style>
  <w:style w:styleId="Style_13_ch" w:type="character">
    <w:name w:val="Balloon Text"/>
    <w:basedOn w:val="Style_4_ch"/>
    <w:link w:val="Style_13"/>
    <w:rPr>
      <w:rFonts w:ascii="Tahoma" w:hAnsi="Tahoma"/>
      <w:sz w:val="16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4"/>
    <w:link w:val="Style_15_ch"/>
    <w:uiPriority w:val="9"/>
    <w:qFormat/>
    <w:pPr>
      <w:widowControl w:val="1"/>
      <w:spacing w:afterAutospacing="on" w:beforeAutospacing="on"/>
      <w:ind/>
      <w:outlineLvl w:val="2"/>
    </w:pPr>
    <w:rPr>
      <w:rFonts w:ascii="Times New Roman" w:hAnsi="Times New Roman"/>
      <w:b w:val="1"/>
      <w:sz w:val="27"/>
    </w:rPr>
  </w:style>
  <w:style w:styleId="Style_15_ch" w:type="character">
    <w:name w:val="heading 3"/>
    <w:basedOn w:val="Style_4_ch"/>
    <w:link w:val="Style_15"/>
    <w:rPr>
      <w:rFonts w:ascii="Times New Roman" w:hAnsi="Times New Roman"/>
      <w:b w:val="1"/>
      <w:sz w:val="27"/>
    </w:rPr>
  </w:style>
  <w:style w:styleId="Style_16" w:type="paragraph">
    <w:name w:val="ConsPlusNonformat"/>
    <w:link w:val="Style_16_ch"/>
    <w:pPr>
      <w:widowControl w:val="0"/>
      <w:ind/>
    </w:pPr>
    <w:rPr>
      <w:rFonts w:ascii="Courier New" w:hAnsi="Courier New"/>
    </w:rPr>
  </w:style>
  <w:style w:styleId="Style_16_ch" w:type="character">
    <w:name w:val="ConsPlusNonformat"/>
    <w:link w:val="Style_16"/>
    <w:rPr>
      <w:rFonts w:ascii="Courier New" w:hAnsi="Courier New"/>
    </w:rPr>
  </w:style>
  <w:style w:styleId="Style_17" w:type="paragraph">
    <w:name w:val="Основной текст Знак1"/>
    <w:link w:val="Style_17_ch"/>
    <w:rPr>
      <w:rFonts w:ascii="Arial" w:hAnsi="Arial"/>
      <w:sz w:val="24"/>
    </w:rPr>
  </w:style>
  <w:style w:styleId="Style_17_ch" w:type="character">
    <w:name w:val="Основной текст Знак1"/>
    <w:link w:val="Style_17"/>
    <w:rPr>
      <w:rFonts w:ascii="Arial" w:hAnsi="Arial"/>
      <w:sz w:val="24"/>
    </w:rPr>
  </w:style>
  <w:style w:styleId="Style_18" w:type="paragraph">
    <w:name w:val="Гипертекстовая ссылка"/>
    <w:link w:val="Style_18_ch"/>
    <w:rPr>
      <w:color w:val="106BBE"/>
    </w:rPr>
  </w:style>
  <w:style w:styleId="Style_18_ch" w:type="character">
    <w:name w:val="Гипертекстовая ссылка"/>
    <w:link w:val="Style_18"/>
    <w:rPr>
      <w:color w:val="106BBE"/>
    </w:rPr>
  </w:style>
  <w:style w:styleId="Style_19" w:type="paragraph">
    <w:name w:val="Body Text"/>
    <w:basedOn w:val="Style_4"/>
    <w:link w:val="Style_19_ch"/>
    <w:pPr>
      <w:widowControl w:val="1"/>
      <w:ind/>
      <w:jc w:val="both"/>
    </w:pPr>
    <w:rPr>
      <w:rFonts w:ascii="Calibri" w:hAnsi="Calibri"/>
    </w:rPr>
  </w:style>
  <w:style w:styleId="Style_19_ch" w:type="character">
    <w:name w:val="Body Text"/>
    <w:basedOn w:val="Style_4_ch"/>
    <w:link w:val="Style_19"/>
    <w:rPr>
      <w:rFonts w:ascii="Calibri" w:hAnsi="Calibri"/>
    </w:rPr>
  </w:style>
  <w:style w:styleId="Style_20" w:type="paragraph">
    <w:name w:val="toc 3"/>
    <w:next w:val="Style_4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FollowedHyperlink"/>
    <w:link w:val="Style_21_ch"/>
    <w:rPr>
      <w:color w:val="800080"/>
      <w:u w:val="single"/>
    </w:rPr>
  </w:style>
  <w:style w:styleId="Style_21_ch" w:type="character">
    <w:name w:val="FollowedHyperlink"/>
    <w:link w:val="Style_21"/>
    <w:rPr>
      <w:color w:val="800080"/>
      <w:u w:val="single"/>
    </w:rPr>
  </w:style>
  <w:style w:styleId="Style_22" w:type="paragraph">
    <w:name w:val="heading 5"/>
    <w:next w:val="Style_4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" w:type="paragraph">
    <w:name w:val="List Paragraph"/>
    <w:basedOn w:val="Style_4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4_ch"/>
    <w:link w:val="Style_2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3" w:type="paragraph">
    <w:name w:val="heading 1"/>
    <w:basedOn w:val="Style_4"/>
    <w:next w:val="Style_4"/>
    <w:link w:val="Style_23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="Cambria" w:hAnsi="Cambria"/>
      <w:b w:val="1"/>
      <w:color w:val="365F91"/>
      <w:sz w:val="28"/>
    </w:rPr>
  </w:style>
  <w:style w:styleId="Style_23_ch" w:type="character">
    <w:name w:val="heading 1"/>
    <w:basedOn w:val="Style_4_ch"/>
    <w:link w:val="Style_23"/>
    <w:rPr>
      <w:rFonts w:ascii="Cambria" w:hAnsi="Cambria"/>
      <w:b w:val="1"/>
      <w:color w:val="365F91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basedOn w:val="Style_4"/>
    <w:link w:val="Style_25_ch"/>
    <w:pPr>
      <w:widowControl w:val="1"/>
      <w:ind/>
    </w:pPr>
    <w:rPr>
      <w:rFonts w:ascii="Times New Roman" w:hAnsi="Times New Roman"/>
      <w:sz w:val="20"/>
    </w:rPr>
  </w:style>
  <w:style w:styleId="Style_25_ch" w:type="character">
    <w:name w:val="Footnote"/>
    <w:basedOn w:val="Style_4_ch"/>
    <w:link w:val="Style_25"/>
    <w:rPr>
      <w:rFonts w:ascii="Times New Roman" w:hAnsi="Times New Roman"/>
      <w:sz w:val="20"/>
    </w:rPr>
  </w:style>
  <w:style w:styleId="Style_26" w:type="paragraph">
    <w:name w:val="toc 1"/>
    <w:next w:val="Style_4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Цветовое выделение"/>
    <w:link w:val="Style_27_ch"/>
    <w:rPr>
      <w:b w:val="1"/>
      <w:color w:val="26282F"/>
    </w:rPr>
  </w:style>
  <w:style w:styleId="Style_27_ch" w:type="character">
    <w:name w:val="Цветовое выделение"/>
    <w:link w:val="Style_27"/>
    <w:rPr>
      <w:b w:val="1"/>
      <w:color w:val="26282F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s_1"/>
    <w:basedOn w:val="Style_4"/>
    <w:link w:val="Style_29_ch"/>
    <w:pPr>
      <w:widowControl w:val="1"/>
      <w:spacing w:afterAutospacing="on" w:beforeAutospacing="on"/>
      <w:ind/>
    </w:pPr>
    <w:rPr>
      <w:rFonts w:ascii="Times New Roman" w:hAnsi="Times New Roman"/>
    </w:rPr>
  </w:style>
  <w:style w:styleId="Style_29_ch" w:type="character">
    <w:name w:val="s_1"/>
    <w:basedOn w:val="Style_4_ch"/>
    <w:link w:val="Style_29"/>
    <w:rPr>
      <w:rFonts w:ascii="Times New Roman" w:hAnsi="Times New Roman"/>
    </w:rPr>
  </w:style>
  <w:style w:styleId="Style_30" w:type="paragraph">
    <w:name w:val="Emphasis"/>
    <w:link w:val="Style_30_ch"/>
    <w:rPr>
      <w:i w:val="1"/>
    </w:rPr>
  </w:style>
  <w:style w:styleId="Style_30_ch" w:type="character">
    <w:name w:val="Emphasis"/>
    <w:link w:val="Style_30"/>
    <w:rPr>
      <w:i w:val="1"/>
    </w:rPr>
  </w:style>
  <w:style w:styleId="Style_31" w:type="paragraph">
    <w:name w:val="toc 9"/>
    <w:next w:val="Style_4"/>
    <w:link w:val="Style_3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standardcxspmiddle"/>
    <w:basedOn w:val="Style_4"/>
    <w:link w:val="Style_32_ch"/>
    <w:pPr>
      <w:widowControl w:val="1"/>
      <w:spacing w:afterAutospacing="on" w:beforeAutospacing="on"/>
      <w:ind/>
    </w:pPr>
    <w:rPr>
      <w:rFonts w:ascii="Times New Roman" w:hAnsi="Times New Roman"/>
    </w:rPr>
  </w:style>
  <w:style w:styleId="Style_32_ch" w:type="character">
    <w:name w:val="standardcxspmiddle"/>
    <w:basedOn w:val="Style_4_ch"/>
    <w:link w:val="Style_32"/>
    <w:rPr>
      <w:rFonts w:ascii="Times New Roman" w:hAnsi="Times New Roman"/>
    </w:rPr>
  </w:style>
  <w:style w:styleId="Style_33" w:type="paragraph">
    <w:name w:val="toc 8"/>
    <w:next w:val="Style_4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Standard"/>
    <w:link w:val="Style_34_ch"/>
    <w:rPr>
      <w:rFonts w:ascii="Times New Roman" w:hAnsi="Times New Roman"/>
      <w:sz w:val="24"/>
    </w:rPr>
  </w:style>
  <w:style w:styleId="Style_34_ch" w:type="character">
    <w:name w:val="Standard"/>
    <w:link w:val="Style_34"/>
    <w:rPr>
      <w:rFonts w:ascii="Times New Roman" w:hAnsi="Times New Roman"/>
      <w:sz w:val="24"/>
    </w:rPr>
  </w:style>
  <w:style w:styleId="Style_35" w:type="paragraph">
    <w:name w:val="toc 5"/>
    <w:next w:val="Style_4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Прижатый влево"/>
    <w:basedOn w:val="Style_4"/>
    <w:next w:val="Style_4"/>
    <w:link w:val="Style_36_ch"/>
    <w:rPr>
      <w:rFonts w:ascii="Times New Roman CYR" w:hAnsi="Times New Roman CYR"/>
    </w:rPr>
  </w:style>
  <w:style w:styleId="Style_36_ch" w:type="character">
    <w:name w:val="Прижатый влево"/>
    <w:basedOn w:val="Style_4_ch"/>
    <w:link w:val="Style_36"/>
    <w:rPr>
      <w:rFonts w:ascii="Times New Roman CYR" w:hAnsi="Times New Roman CYR"/>
    </w:rPr>
  </w:style>
  <w:style w:styleId="Style_37" w:type="paragraph">
    <w:name w:val="formattext"/>
    <w:basedOn w:val="Style_4"/>
    <w:link w:val="Style_37_ch"/>
    <w:pPr>
      <w:widowControl w:val="1"/>
      <w:spacing w:afterAutospacing="on" w:beforeAutospacing="on"/>
      <w:ind/>
    </w:pPr>
    <w:rPr>
      <w:rFonts w:ascii="Times New Roman" w:hAnsi="Times New Roman"/>
    </w:rPr>
  </w:style>
  <w:style w:styleId="Style_37_ch" w:type="character">
    <w:name w:val="formattext"/>
    <w:basedOn w:val="Style_4_ch"/>
    <w:link w:val="Style_37"/>
    <w:rPr>
      <w:rFonts w:ascii="Times New Roman" w:hAnsi="Times New Roman"/>
    </w:rPr>
  </w:style>
  <w:style w:styleId="Style_38" w:type="paragraph">
    <w:name w:val="Абзац списка1"/>
    <w:basedOn w:val="Style_4"/>
    <w:link w:val="Style_38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38_ch" w:type="character">
    <w:name w:val="Абзац списка1"/>
    <w:basedOn w:val="Style_4_ch"/>
    <w:link w:val="Style_38"/>
    <w:rPr>
      <w:rFonts w:ascii="Calibri" w:hAnsi="Calibri"/>
      <w:sz w:val="22"/>
    </w:rPr>
  </w:style>
  <w:style w:styleId="Style_39" w:type="paragraph">
    <w:name w:val="footnote reference"/>
    <w:link w:val="Style_39_ch"/>
    <w:rPr>
      <w:vertAlign w:val="superscript"/>
    </w:rPr>
  </w:style>
  <w:style w:styleId="Style_39_ch" w:type="character">
    <w:name w:val="footnote reference"/>
    <w:link w:val="Style_39"/>
    <w:rPr>
      <w:vertAlign w:val="superscript"/>
    </w:rPr>
  </w:style>
  <w:style w:styleId="Style_40" w:type="paragraph">
    <w:name w:val="Subtitle"/>
    <w:next w:val="Style_4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Title"/>
    <w:next w:val="Style_4"/>
    <w:link w:val="Style_4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42" w:type="paragraph">
    <w:name w:val="heading 4"/>
    <w:next w:val="Style_4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heading 2"/>
    <w:next w:val="Style_4"/>
    <w:link w:val="Style_4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styleId="Style_44" w:type="paragraph">
    <w:name w:val="ConsPlusNormal"/>
    <w:link w:val="Style_44_ch"/>
    <w:pPr>
      <w:widowControl w:val="0"/>
      <w:ind/>
    </w:pPr>
    <w:rPr>
      <w:rFonts w:ascii="Arial" w:hAnsi="Arial"/>
      <w:sz w:val="16"/>
    </w:rPr>
  </w:style>
  <w:style w:styleId="Style_44_ch" w:type="character">
    <w:name w:val="ConsPlusNormal"/>
    <w:link w:val="Style_44"/>
    <w:rPr>
      <w:rFonts w:ascii="Arial" w:hAnsi="Arial"/>
      <w:sz w:val="16"/>
    </w:rPr>
  </w:style>
  <w:style w:styleId="Style_45" w:type="table">
    <w:name w:val="Сетка таблицы1"/>
    <w:basedOn w:val="Style_3"/>
    <w:rPr>
      <w:rFonts w:ascii="Times New Roman" w:hAnsi="Times New Roman"/>
      <w:color w:val="00000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6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2026-08-28T03:26:19Z</dcterms:created>
  <dcterms:modified xsi:type="dcterms:W3CDTF">2026-08-28T03:26:19Z</dcterms:modified>
</cp:coreProperties>
</file>